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FDB9E" w14:textId="43105232" w:rsidR="006970D0" w:rsidRPr="00322A16" w:rsidRDefault="000F6D57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>Supplemental</w:t>
      </w:r>
      <w:r w:rsidR="006970D0" w:rsidRPr="00322A16">
        <w:rPr>
          <w:rFonts w:ascii="Times New Roman" w:hAnsi="Times New Roman" w:cs="Times New Roman"/>
          <w:sz w:val="22"/>
        </w:rPr>
        <w:t xml:space="preserve"> figure</w:t>
      </w:r>
      <w:r w:rsidR="006B56F2" w:rsidRPr="00322A16">
        <w:rPr>
          <w:rFonts w:ascii="Times New Roman" w:hAnsi="Times New Roman" w:cs="Times New Roman"/>
          <w:sz w:val="22"/>
        </w:rPr>
        <w:t>s</w:t>
      </w:r>
      <w:r w:rsidR="006970D0" w:rsidRPr="00322A16">
        <w:rPr>
          <w:rFonts w:ascii="Times New Roman" w:hAnsi="Times New Roman" w:cs="Times New Roman"/>
          <w:sz w:val="22"/>
        </w:rPr>
        <w:t xml:space="preserve"> </w:t>
      </w:r>
    </w:p>
    <w:p w14:paraId="7096347D" w14:textId="2DDF35B6" w:rsidR="008A1305" w:rsidRPr="00322A16" w:rsidRDefault="00AE75DD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noProof/>
        </w:rPr>
        <w:drawing>
          <wp:inline distT="0" distB="0" distL="0" distR="0" wp14:anchorId="25453F0B" wp14:editId="1328837C">
            <wp:extent cx="5274310" cy="3069590"/>
            <wp:effectExtent l="0" t="0" r="2540" b="0"/>
            <wp:docPr id="1347086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6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1305" w:rsidRPr="00322A16">
        <w:rPr>
          <w:rFonts w:ascii="Times New Roman" w:hAnsi="Times New Roman" w:cs="Times New Roman"/>
          <w:b/>
          <w:bCs/>
          <w:sz w:val="22"/>
        </w:rPr>
        <w:t xml:space="preserve"> Figure S1. Genome-wide distribution and annotation of SNPs and </w:t>
      </w:r>
      <w:proofErr w:type="spellStart"/>
      <w:r w:rsidR="008A1305" w:rsidRPr="00322A16">
        <w:rPr>
          <w:rFonts w:ascii="Times New Roman" w:hAnsi="Times New Roman" w:cs="Times New Roman"/>
          <w:b/>
          <w:bCs/>
          <w:sz w:val="22"/>
        </w:rPr>
        <w:t>InDels</w:t>
      </w:r>
      <w:proofErr w:type="spellEnd"/>
      <w:r w:rsidR="008A1305" w:rsidRPr="00322A16">
        <w:rPr>
          <w:rFonts w:ascii="Times New Roman" w:hAnsi="Times New Roman" w:cs="Times New Roman"/>
          <w:b/>
          <w:bCs/>
          <w:sz w:val="22"/>
        </w:rPr>
        <w:t>.</w:t>
      </w:r>
    </w:p>
    <w:p w14:paraId="4D68992B" w14:textId="77777777" w:rsidR="008A1305" w:rsidRPr="00322A16" w:rsidRDefault="008A1305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 xml:space="preserve">(A, B) SNP density across the 11 chromosomes in the A (A) and B </w:t>
      </w:r>
      <w:proofErr w:type="spellStart"/>
      <w:r w:rsidRPr="00322A16">
        <w:rPr>
          <w:rFonts w:ascii="Times New Roman" w:hAnsi="Times New Roman" w:cs="Times New Roman"/>
          <w:sz w:val="22"/>
        </w:rPr>
        <w:t>subgenomes</w:t>
      </w:r>
      <w:proofErr w:type="spellEnd"/>
      <w:r w:rsidRPr="00322A16">
        <w:rPr>
          <w:rFonts w:ascii="Times New Roman" w:hAnsi="Times New Roman" w:cs="Times New Roman"/>
          <w:sz w:val="22"/>
        </w:rPr>
        <w:t xml:space="preserve"> (B). (C, D) Functional classification of genome-wide SNPs (C) and </w:t>
      </w:r>
      <w:proofErr w:type="spellStart"/>
      <w:r w:rsidRPr="00322A16">
        <w:rPr>
          <w:rFonts w:ascii="Times New Roman" w:hAnsi="Times New Roman" w:cs="Times New Roman"/>
          <w:sz w:val="22"/>
        </w:rPr>
        <w:t>InDels</w:t>
      </w:r>
      <w:proofErr w:type="spellEnd"/>
      <w:r w:rsidRPr="00322A16">
        <w:rPr>
          <w:rFonts w:ascii="Times New Roman" w:hAnsi="Times New Roman" w:cs="Times New Roman"/>
          <w:sz w:val="22"/>
        </w:rPr>
        <w:t xml:space="preserve"> (D), showing the proportion of variants in each functional category.</w:t>
      </w:r>
    </w:p>
    <w:p w14:paraId="3EFAD33E" w14:textId="40C8E6E7" w:rsidR="005E03B1" w:rsidRPr="00322A16" w:rsidRDefault="005E03B1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66C815D6" w14:textId="2030DE5A" w:rsidR="006970D0" w:rsidRPr="00322A16" w:rsidRDefault="00AE75DD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76300D39" wp14:editId="44B609B0">
            <wp:extent cx="5274310" cy="4011295"/>
            <wp:effectExtent l="0" t="0" r="2540" b="8255"/>
            <wp:docPr id="20912330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1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0F498" w14:textId="77777777" w:rsidR="008A1305" w:rsidRPr="00322A16" w:rsidRDefault="008A1305" w:rsidP="00396F7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bookmarkStart w:id="0" w:name="OLE_LINK3"/>
      <w:r w:rsidRPr="00322A16">
        <w:rPr>
          <w:rFonts w:ascii="Times New Roman" w:hAnsi="Times New Roman" w:cs="Times New Roman"/>
          <w:b/>
          <w:bCs/>
          <w:sz w:val="22"/>
        </w:rPr>
        <w:t xml:space="preserve">Figure S2. Population structure and principal component analysis (PCA) of banana accessions. </w:t>
      </w:r>
    </w:p>
    <w:p w14:paraId="58642D74" w14:textId="16AAE335" w:rsidR="008A1305" w:rsidRPr="00322A16" w:rsidRDefault="008A1305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 xml:space="preserve">(A) Estimation of optimal ancestral populations based on cross-validation (CV) error and likelihood scores for different </w:t>
      </w:r>
      <w:r w:rsidRPr="00322A16">
        <w:rPr>
          <w:rFonts w:ascii="Times New Roman" w:hAnsi="Times New Roman" w:cs="Times New Roman"/>
          <w:i/>
          <w:iCs/>
          <w:sz w:val="22"/>
        </w:rPr>
        <w:t>K</w:t>
      </w:r>
      <w:r w:rsidRPr="00322A16">
        <w:rPr>
          <w:rFonts w:ascii="Times New Roman" w:hAnsi="Times New Roman" w:cs="Times New Roman"/>
          <w:sz w:val="22"/>
        </w:rPr>
        <w:t xml:space="preserve"> values. (B</w:t>
      </w:r>
      <w:r w:rsidR="007A1C5A" w:rsidRPr="00322A16">
        <w:rPr>
          <w:rFonts w:ascii="Times New Roman" w:hAnsi="Times New Roman" w:cs="Times New Roman"/>
          <w:sz w:val="22"/>
        </w:rPr>
        <w:t>–</w:t>
      </w:r>
      <w:r w:rsidRPr="00322A16">
        <w:rPr>
          <w:rFonts w:ascii="Times New Roman" w:hAnsi="Times New Roman" w:cs="Times New Roman"/>
          <w:sz w:val="22"/>
        </w:rPr>
        <w:t>D) PCA plots depicting the top three principal components of genetic variation among accessions based on genome-wide SNP data.</w:t>
      </w:r>
    </w:p>
    <w:p w14:paraId="3423CC4B" w14:textId="77777777" w:rsidR="005E03B1" w:rsidRPr="00322A16" w:rsidRDefault="005E03B1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781E657A" w14:textId="494AD83F" w:rsidR="006970D0" w:rsidRPr="00322A16" w:rsidRDefault="00FE2C96" w:rsidP="00396F71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5FC2C2D3" wp14:editId="0D6F70C7">
            <wp:extent cx="5274310" cy="5038725"/>
            <wp:effectExtent l="0" t="0" r="2540" b="9525"/>
            <wp:docPr id="162064610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04BC4264" w14:textId="77777777" w:rsidR="008A1305" w:rsidRPr="00322A16" w:rsidRDefault="008A1305" w:rsidP="00396F7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 xml:space="preserve">Figure S3. Subgroup-specific linkage disequilibrium (LD) decay. </w:t>
      </w:r>
    </w:p>
    <w:p w14:paraId="50FBAE74" w14:textId="3876D53B" w:rsidR="008A1305" w:rsidRPr="00322A16" w:rsidRDefault="008A1305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>LD decay curves calculated across nine genetic subgroups with a distance threshold of 50 Mb. Colors correspond to subgroup identities.</w:t>
      </w:r>
    </w:p>
    <w:p w14:paraId="6C653AE3" w14:textId="77777777" w:rsidR="005E03B1" w:rsidRPr="00322A16" w:rsidRDefault="005E03B1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032EE43D" w14:textId="117BA33A" w:rsidR="006970D0" w:rsidRPr="00322A16" w:rsidRDefault="00AE75DD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0DCF9638" wp14:editId="1F7FC0E0">
            <wp:extent cx="5274310" cy="2411730"/>
            <wp:effectExtent l="0" t="0" r="2540" b="7620"/>
            <wp:docPr id="102534347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F1E93" w14:textId="77777777" w:rsidR="008A1305" w:rsidRPr="00322A16" w:rsidRDefault="008A1305" w:rsidP="00396F7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>Figure S4. Gene flow analysis among banana population subgroups.</w:t>
      </w:r>
    </w:p>
    <w:p w14:paraId="48E4C6AE" w14:textId="77777777" w:rsidR="008A1305" w:rsidRPr="00322A16" w:rsidRDefault="008A1305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 xml:space="preserve">(A) </w:t>
      </w:r>
      <w:proofErr w:type="spellStart"/>
      <w:r w:rsidRPr="00322A16">
        <w:rPr>
          <w:rFonts w:ascii="Times New Roman" w:hAnsi="Times New Roman" w:cs="Times New Roman"/>
          <w:sz w:val="22"/>
        </w:rPr>
        <w:t>TreeMix</w:t>
      </w:r>
      <w:proofErr w:type="spellEnd"/>
      <w:r w:rsidRPr="00322A16">
        <w:rPr>
          <w:rFonts w:ascii="Times New Roman" w:hAnsi="Times New Roman" w:cs="Times New Roman"/>
          <w:sz w:val="22"/>
        </w:rPr>
        <w:t xml:space="preserve"> analysis showing gene flow among subgroups with five migration edges (</w:t>
      </w:r>
      <w:r w:rsidRPr="00322A16">
        <w:rPr>
          <w:rFonts w:ascii="Times New Roman" w:hAnsi="Times New Roman" w:cs="Times New Roman"/>
          <w:i/>
          <w:iCs/>
          <w:sz w:val="22"/>
        </w:rPr>
        <w:t>m</w:t>
      </w:r>
      <w:r w:rsidRPr="00322A16">
        <w:rPr>
          <w:rFonts w:ascii="Times New Roman" w:hAnsi="Times New Roman" w:cs="Times New Roman"/>
          <w:sz w:val="22"/>
        </w:rPr>
        <w:t xml:space="preserve"> = 5) based on the A </w:t>
      </w:r>
      <w:proofErr w:type="spellStart"/>
      <w:r w:rsidRPr="00322A16">
        <w:rPr>
          <w:rFonts w:ascii="Times New Roman" w:hAnsi="Times New Roman" w:cs="Times New Roman"/>
          <w:sz w:val="22"/>
        </w:rPr>
        <w:t>subgenome</w:t>
      </w:r>
      <w:proofErr w:type="spellEnd"/>
      <w:r w:rsidRPr="00322A16">
        <w:rPr>
          <w:rFonts w:ascii="Times New Roman" w:hAnsi="Times New Roman" w:cs="Times New Roman"/>
          <w:sz w:val="22"/>
        </w:rPr>
        <w:t>. (B) Directional gene flow detected between subgroup B and ABB/AAB genotypes within subgroup G.</w:t>
      </w:r>
    </w:p>
    <w:p w14:paraId="566DA942" w14:textId="77777777" w:rsidR="005E03B1" w:rsidRPr="00322A16" w:rsidRDefault="005E03B1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25D10F0D" w14:textId="2B7CB572" w:rsidR="006970D0" w:rsidRPr="00322A16" w:rsidRDefault="00AE75DD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67961F02" wp14:editId="43F52D7F">
            <wp:extent cx="5274310" cy="2058670"/>
            <wp:effectExtent l="0" t="0" r="2540" b="0"/>
            <wp:docPr id="3507719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5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C32BE" w14:textId="77777777" w:rsidR="008A1305" w:rsidRPr="00322A16" w:rsidRDefault="008A1305" w:rsidP="00396F71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  <w:bookmarkStart w:id="1" w:name="OLE_LINK1"/>
      <w:r w:rsidRPr="00322A16">
        <w:rPr>
          <w:rFonts w:ascii="Times New Roman" w:hAnsi="Times New Roman" w:cs="Times New Roman"/>
          <w:b/>
          <w:bCs/>
          <w:sz w:val="22"/>
        </w:rPr>
        <w:t xml:space="preserve">Figure S5. Selective sweep analysis identifying hormone-related candidate genes. </w:t>
      </w:r>
    </w:p>
    <w:p w14:paraId="49738268" w14:textId="77777777" w:rsidR="008A1305" w:rsidRPr="00322A16" w:rsidRDefault="008A1305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>Genome-wide XP-CLR analysis between dwarf and tall banana accessions reveals selective sweeps enriched in hormone biosynthesis and signaling genes.</w:t>
      </w:r>
    </w:p>
    <w:p w14:paraId="6D6140A9" w14:textId="77777777" w:rsidR="005E03B1" w:rsidRPr="00322A16" w:rsidRDefault="005E03B1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20C2D2AC" w14:textId="657506A4" w:rsidR="006970D0" w:rsidRPr="00322A16" w:rsidRDefault="00AE75DD" w:rsidP="00396F71">
      <w:pPr>
        <w:widowControl/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20D2B83E" wp14:editId="24C2EFC4">
            <wp:extent cx="2336800" cy="1841500"/>
            <wp:effectExtent l="0" t="0" r="6350" b="6350"/>
            <wp:docPr id="2371848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77FFD2FC" w14:textId="77777777" w:rsidR="008A1305" w:rsidRPr="00322A16" w:rsidRDefault="008A1305" w:rsidP="00396F7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 xml:space="preserve">Figure S6. Correlation between plant height and flowering time. </w:t>
      </w:r>
    </w:p>
    <w:p w14:paraId="2C4DFA45" w14:textId="77777777" w:rsidR="008A1305" w:rsidRPr="00322A16" w:rsidRDefault="008A1305" w:rsidP="00396F7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sz w:val="22"/>
        </w:rPr>
        <w:t>Box plots comparing plant height across accessions grouped by flowering time.</w:t>
      </w:r>
    </w:p>
    <w:p w14:paraId="513830BD" w14:textId="77777777" w:rsidR="005E03B1" w:rsidRPr="00322A16" w:rsidRDefault="005E03B1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7DEFCFB6" w14:textId="5E522B59" w:rsidR="006970D0" w:rsidRPr="00322A16" w:rsidRDefault="00AE75DD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5365EB1E" wp14:editId="5A17CE4C">
            <wp:extent cx="5238750" cy="2209800"/>
            <wp:effectExtent l="0" t="0" r="0" b="0"/>
            <wp:docPr id="31676044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DBF41" w14:textId="77777777" w:rsidR="008A1305" w:rsidRPr="00322A16" w:rsidRDefault="008A1305" w:rsidP="00396F7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>Figure S7. GWAS threshold determination and normality test in GWAS.</w:t>
      </w:r>
    </w:p>
    <w:p w14:paraId="658EFAFA" w14:textId="77777777" w:rsidR="008A1305" w:rsidRPr="00322A16" w:rsidRDefault="008A1305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 xml:space="preserve">(A) Permutation-derived significance threshold distribution. (B) Quantile-Quantile (QQ) plot comparing observed and expected </w:t>
      </w:r>
      <w:r w:rsidRPr="00322A16">
        <w:rPr>
          <w:rFonts w:ascii="Times New Roman" w:hAnsi="Times New Roman" w:cs="Times New Roman"/>
          <w:i/>
          <w:iCs/>
          <w:sz w:val="22"/>
        </w:rPr>
        <w:t>P</w:t>
      </w:r>
      <w:r w:rsidRPr="00322A16">
        <w:rPr>
          <w:rFonts w:ascii="Times New Roman" w:hAnsi="Times New Roman" w:cs="Times New Roman"/>
          <w:sz w:val="22"/>
        </w:rPr>
        <w:t>-values from GWAS.</w:t>
      </w:r>
    </w:p>
    <w:p w14:paraId="7082996C" w14:textId="77777777" w:rsidR="00A12E75" w:rsidRPr="00322A16" w:rsidRDefault="00A12E75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5E282F13" w14:textId="3DA62C36" w:rsidR="00A862C6" w:rsidRPr="00322A16" w:rsidRDefault="00AE75DD" w:rsidP="00396F71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6C229A6A" wp14:editId="4D0E6E31">
            <wp:extent cx="5054600" cy="3276600"/>
            <wp:effectExtent l="0" t="0" r="0" b="0"/>
            <wp:docPr id="5130878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328BC" w14:textId="77777777" w:rsidR="002220FB" w:rsidRPr="00322A16" w:rsidRDefault="002220FB" w:rsidP="00396F7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bookmarkStart w:id="2" w:name="_Hlk198063545"/>
      <w:r w:rsidRPr="00322A16">
        <w:rPr>
          <w:rFonts w:ascii="Times New Roman" w:hAnsi="Times New Roman" w:cs="Times New Roman"/>
          <w:b/>
          <w:bCs/>
          <w:sz w:val="22"/>
        </w:rPr>
        <w:t xml:space="preserve">Figure S8. GWAS validation of the </w:t>
      </w:r>
      <w:r w:rsidRPr="00322A16">
        <w:rPr>
          <w:rFonts w:ascii="Times New Roman" w:hAnsi="Times New Roman" w:cs="Times New Roman"/>
          <w:b/>
          <w:bCs/>
          <w:i/>
          <w:iCs/>
          <w:sz w:val="22"/>
        </w:rPr>
        <w:t xml:space="preserve">MabHLH30 </w:t>
      </w:r>
      <w:r w:rsidRPr="00322A16">
        <w:rPr>
          <w:rFonts w:ascii="Times New Roman" w:hAnsi="Times New Roman" w:cs="Times New Roman"/>
          <w:b/>
          <w:bCs/>
          <w:sz w:val="22"/>
        </w:rPr>
        <w:t>locus using alternative models.</w:t>
      </w:r>
    </w:p>
    <w:p w14:paraId="2A1505C6" w14:textId="799EB253" w:rsidR="00A862C6" w:rsidRPr="00322A16" w:rsidRDefault="002220FB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 xml:space="preserve">Significant SNP (chr05:46,248,991) identified by both the Bayesian-information and Linkage-disequilibrium Iteratively Nested Keyway (BLINK) model and Mixed Linear Model (MLM), located 59.52 kb upstream of </w:t>
      </w:r>
      <w:r w:rsidRPr="00322A16">
        <w:rPr>
          <w:rFonts w:ascii="Times New Roman" w:hAnsi="Times New Roman" w:cs="Times New Roman"/>
          <w:i/>
          <w:iCs/>
          <w:sz w:val="22"/>
        </w:rPr>
        <w:t>MabHLH30</w:t>
      </w:r>
      <w:r w:rsidRPr="00322A16">
        <w:rPr>
          <w:rFonts w:ascii="Times New Roman" w:hAnsi="Times New Roman" w:cs="Times New Roman"/>
          <w:sz w:val="22"/>
        </w:rPr>
        <w:t>.</w:t>
      </w:r>
      <w:bookmarkEnd w:id="2"/>
      <w:r w:rsidR="00A862C6" w:rsidRPr="00322A16">
        <w:rPr>
          <w:rFonts w:ascii="Times New Roman" w:hAnsi="Times New Roman" w:cs="Times New Roman"/>
          <w:sz w:val="22"/>
        </w:rPr>
        <w:br w:type="page"/>
      </w:r>
    </w:p>
    <w:p w14:paraId="22E1CBA9" w14:textId="496A0683" w:rsidR="006970D0" w:rsidRPr="00322A16" w:rsidRDefault="00AE75DD" w:rsidP="005A6500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5B13D7CD" wp14:editId="55A22B75">
            <wp:extent cx="4617720" cy="6324600"/>
            <wp:effectExtent l="0" t="0" r="0" b="0"/>
            <wp:docPr id="214340334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72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84C47" w14:textId="77777777" w:rsidR="002220FB" w:rsidRPr="00322A16" w:rsidRDefault="002220FB" w:rsidP="00396F71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  <w:shd w:val="clear" w:color="auto" w:fill="FFFFFF"/>
        </w:rPr>
      </w:pPr>
      <w:r w:rsidRPr="00322A16">
        <w:rPr>
          <w:rFonts w:ascii="Times New Roman" w:hAnsi="Times New Roman" w:cs="Times New Roman"/>
          <w:b/>
          <w:bCs/>
          <w:sz w:val="22"/>
        </w:rPr>
        <w:t>Figure S9. Expression heatmap of 51 genes overlapping GWAS, XP-CLR, and RNA-seq datasets.</w:t>
      </w:r>
      <w:r w:rsidRPr="00322A16">
        <w:rPr>
          <w:rFonts w:ascii="Times New Roman" w:hAnsi="Times New Roman" w:cs="Times New Roman"/>
          <w:b/>
          <w:bCs/>
          <w:sz w:val="22"/>
          <w:shd w:val="clear" w:color="auto" w:fill="FFFFFF"/>
        </w:rPr>
        <w:t xml:space="preserve"> </w:t>
      </w:r>
    </w:p>
    <w:p w14:paraId="1E52FAB0" w14:textId="20456F43" w:rsidR="002220FB" w:rsidRPr="00322A16" w:rsidRDefault="002220FB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 xml:space="preserve">Genes are categorized by function and clustered based on expression in ‘Baxi’ </w:t>
      </w:r>
      <w:r w:rsidRPr="00322A16">
        <w:rPr>
          <w:rFonts w:ascii="Times New Roman" w:hAnsi="Times New Roman" w:cs="Times New Roman"/>
          <w:i/>
          <w:iCs/>
          <w:sz w:val="22"/>
        </w:rPr>
        <w:t>vs</w:t>
      </w:r>
      <w:r w:rsidRPr="00322A16">
        <w:rPr>
          <w:rFonts w:ascii="Times New Roman" w:hAnsi="Times New Roman" w:cs="Times New Roman"/>
          <w:sz w:val="22"/>
        </w:rPr>
        <w:t>. ‘R3’, with transcription factors associated with plant growth and development depicted in red.</w:t>
      </w:r>
    </w:p>
    <w:p w14:paraId="02AD4DB3" w14:textId="77777777" w:rsidR="00A862C6" w:rsidRPr="00322A16" w:rsidRDefault="00A862C6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1107BE0F" w14:textId="5EBBEAA0" w:rsidR="006E1081" w:rsidRPr="00322A16" w:rsidRDefault="00AE75DD" w:rsidP="00396F71">
      <w:pPr>
        <w:widowControl/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6399E1EC" wp14:editId="414066FE">
            <wp:extent cx="2941320" cy="1272540"/>
            <wp:effectExtent l="0" t="0" r="0" b="3810"/>
            <wp:docPr id="78908494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E2331" w14:textId="77777777" w:rsidR="002220FB" w:rsidRPr="00322A16" w:rsidRDefault="002220FB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 xml:space="preserve">Figure S10. Reduction of diversity (ROD) analysis surrounding </w:t>
      </w:r>
      <w:r w:rsidRPr="00322A16">
        <w:rPr>
          <w:rFonts w:ascii="Times New Roman" w:hAnsi="Times New Roman" w:cs="Times New Roman"/>
          <w:b/>
          <w:bCs/>
          <w:i/>
          <w:iCs/>
          <w:sz w:val="22"/>
        </w:rPr>
        <w:t>MabHLH30</w:t>
      </w:r>
      <w:r w:rsidRPr="00322A16">
        <w:rPr>
          <w:rFonts w:ascii="Times New Roman" w:hAnsi="Times New Roman" w:cs="Times New Roman"/>
          <w:b/>
          <w:bCs/>
          <w:sz w:val="22"/>
        </w:rPr>
        <w:t>.</w:t>
      </w:r>
      <w:r w:rsidRPr="00322A16">
        <w:rPr>
          <w:rFonts w:ascii="Times New Roman" w:hAnsi="Times New Roman" w:cs="Times New Roman"/>
          <w:sz w:val="22"/>
        </w:rPr>
        <w:t xml:space="preserve"> </w:t>
      </w:r>
    </w:p>
    <w:p w14:paraId="7EF8FA05" w14:textId="7A99E510" w:rsidR="002220FB" w:rsidRPr="00322A16" w:rsidRDefault="002220FB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>Selective signal plotted across chr5, with</w:t>
      </w:r>
      <w:r w:rsidRPr="00322A16" w:rsidDel="003647AD">
        <w:rPr>
          <w:rFonts w:ascii="Times New Roman" w:hAnsi="Times New Roman" w:cs="Times New Roman"/>
          <w:sz w:val="22"/>
        </w:rPr>
        <w:t xml:space="preserve"> </w:t>
      </w:r>
      <w:r w:rsidRPr="00322A16">
        <w:rPr>
          <w:rFonts w:ascii="Times New Roman" w:hAnsi="Times New Roman" w:cs="Times New Roman"/>
          <w:i/>
          <w:iCs/>
          <w:sz w:val="22"/>
        </w:rPr>
        <w:t>MabHLH30</w:t>
      </w:r>
      <w:r w:rsidRPr="00322A16">
        <w:rPr>
          <w:rFonts w:ascii="Times New Roman" w:hAnsi="Times New Roman" w:cs="Times New Roman"/>
          <w:sz w:val="22"/>
        </w:rPr>
        <w:t xml:space="preserve"> marked in red. The dashed line indicates the 5% genome-wide threshold.</w:t>
      </w:r>
    </w:p>
    <w:p w14:paraId="325295A5" w14:textId="4C05B9AD" w:rsidR="0003706D" w:rsidRPr="00322A16" w:rsidRDefault="00A862C6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12B0FF36" w14:textId="17DD9F7B" w:rsidR="0003706D" w:rsidRPr="00322A16" w:rsidRDefault="00AE75DD" w:rsidP="00396F71">
      <w:pPr>
        <w:widowControl/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0F8861D6" wp14:editId="6B222475">
            <wp:extent cx="3764280" cy="5417820"/>
            <wp:effectExtent l="0" t="0" r="7620" b="0"/>
            <wp:docPr id="204338195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541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95668" w14:textId="4818CD3A" w:rsidR="00715C62" w:rsidRPr="00322A16" w:rsidRDefault="00715C62" w:rsidP="00715C62">
      <w:pPr>
        <w:widowControl/>
        <w:spacing w:before="50" w:after="50"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 xml:space="preserve">Figure S11. Phylogenetic relationships </w:t>
      </w:r>
      <w:r w:rsidRPr="00322A16">
        <w:rPr>
          <w:rFonts w:ascii="Times New Roman" w:hAnsi="Times New Roman" w:cs="Times New Roman" w:hint="eastAsia"/>
          <w:b/>
          <w:bCs/>
          <w:sz w:val="22"/>
        </w:rPr>
        <w:t>between</w:t>
      </w:r>
      <w:r w:rsidRPr="00322A16">
        <w:rPr>
          <w:rFonts w:ascii="Times New Roman" w:hAnsi="Times New Roman" w:cs="Times New Roman"/>
          <w:b/>
          <w:bCs/>
          <w:i/>
          <w:iCs/>
          <w:sz w:val="22"/>
        </w:rPr>
        <w:t xml:space="preserve"> MabHLH30</w:t>
      </w:r>
      <w:r w:rsidRPr="00322A16">
        <w:rPr>
          <w:rFonts w:ascii="Times New Roman" w:hAnsi="Times New Roman" w:cs="Times New Roman"/>
          <w:b/>
          <w:bCs/>
          <w:sz w:val="22"/>
        </w:rPr>
        <w:t xml:space="preserve"> and its homolog</w:t>
      </w:r>
      <w:r w:rsidRPr="00322A16">
        <w:rPr>
          <w:rFonts w:ascii="Times New Roman" w:hAnsi="Times New Roman" w:cs="Times New Roman" w:hint="eastAsia"/>
          <w:b/>
          <w:bCs/>
          <w:sz w:val="22"/>
        </w:rPr>
        <w:t>ous genes</w:t>
      </w:r>
      <w:r w:rsidRPr="00322A16">
        <w:rPr>
          <w:rFonts w:ascii="Times New Roman" w:hAnsi="Times New Roman" w:cs="Times New Roman"/>
          <w:b/>
          <w:bCs/>
          <w:sz w:val="22"/>
        </w:rPr>
        <w:t xml:space="preserve">. </w:t>
      </w:r>
      <w:r w:rsidRPr="00322A16">
        <w:rPr>
          <w:rFonts w:ascii="Times New Roman" w:hAnsi="Times New Roman" w:cs="Times New Roman" w:hint="eastAsia"/>
          <w:sz w:val="22"/>
        </w:rPr>
        <w:t>The p</w:t>
      </w:r>
      <w:r w:rsidRPr="00322A16">
        <w:rPr>
          <w:rFonts w:ascii="Times New Roman" w:hAnsi="Times New Roman" w:cs="Times New Roman"/>
          <w:sz w:val="22"/>
        </w:rPr>
        <w:t>hylogenetic tree</w:t>
      </w:r>
      <w:r w:rsidRPr="00322A16">
        <w:rPr>
          <w:rFonts w:ascii="Times New Roman" w:hAnsi="Times New Roman" w:cs="Times New Roman" w:hint="eastAsia"/>
          <w:sz w:val="22"/>
        </w:rPr>
        <w:t xml:space="preserve"> was generated using en</w:t>
      </w:r>
      <w:r w:rsidRPr="00322A16">
        <w:rPr>
          <w:rFonts w:ascii="Times New Roman" w:hAnsi="Times New Roman" w:cs="Times New Roman"/>
          <w:sz w:val="22"/>
        </w:rPr>
        <w:t>coding</w:t>
      </w:r>
      <w:r w:rsidRPr="00322A16">
        <w:rPr>
          <w:rFonts w:ascii="Times New Roman" w:hAnsi="Times New Roman" w:cs="Times New Roman" w:hint="eastAsia"/>
          <w:sz w:val="22"/>
        </w:rPr>
        <w:t xml:space="preserve"> </w:t>
      </w:r>
      <w:r w:rsidRPr="00322A16">
        <w:rPr>
          <w:rFonts w:ascii="Times New Roman" w:hAnsi="Times New Roman" w:cs="Times New Roman"/>
          <w:sz w:val="22"/>
        </w:rPr>
        <w:t xml:space="preserve">sequences of </w:t>
      </w:r>
      <w:r w:rsidRPr="00322A16">
        <w:rPr>
          <w:rFonts w:ascii="Times New Roman" w:hAnsi="Times New Roman" w:cs="Times New Roman"/>
          <w:i/>
          <w:iCs/>
          <w:sz w:val="22"/>
        </w:rPr>
        <w:t>MabHLH30</w:t>
      </w:r>
      <w:r w:rsidRPr="00322A16">
        <w:rPr>
          <w:rFonts w:ascii="Times New Roman" w:hAnsi="Times New Roman" w:cs="Times New Roman"/>
          <w:sz w:val="22"/>
        </w:rPr>
        <w:t xml:space="preserve"> and its homolog</w:t>
      </w:r>
      <w:r w:rsidRPr="00322A16">
        <w:rPr>
          <w:rFonts w:ascii="Times New Roman" w:hAnsi="Times New Roman" w:cs="Times New Roman" w:hint="eastAsia"/>
          <w:sz w:val="22"/>
        </w:rPr>
        <w:t>ous genes</w:t>
      </w:r>
      <w:r w:rsidRPr="00322A16">
        <w:rPr>
          <w:rFonts w:ascii="Times New Roman" w:hAnsi="Times New Roman" w:cs="Times New Roman"/>
          <w:sz w:val="22"/>
        </w:rPr>
        <w:t xml:space="preserve"> </w:t>
      </w:r>
      <w:r w:rsidRPr="00322A16">
        <w:rPr>
          <w:rFonts w:ascii="Times New Roman" w:hAnsi="Times New Roman" w:cs="Times New Roman" w:hint="eastAsia"/>
          <w:sz w:val="22"/>
        </w:rPr>
        <w:t>from</w:t>
      </w:r>
      <w:r w:rsidRPr="00322A16">
        <w:rPr>
          <w:rFonts w:ascii="Times New Roman" w:hAnsi="Times New Roman" w:cs="Times New Roman"/>
          <w:sz w:val="22"/>
        </w:rPr>
        <w:t xml:space="preserve"> </w:t>
      </w:r>
      <w:r w:rsidRPr="00322A16">
        <w:rPr>
          <w:rFonts w:ascii="Times New Roman" w:eastAsia="宋体" w:hAnsi="Times New Roman" w:cs="Times New Roman"/>
          <w:i/>
          <w:iCs/>
          <w:kern w:val="0"/>
          <w:sz w:val="22"/>
          <w:shd w:val="clear" w:color="auto" w:fill="FFFFFF"/>
        </w:rPr>
        <w:t>Malus domestica</w:t>
      </w:r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 xml:space="preserve"> (Md)</w:t>
      </w:r>
      <w:r w:rsidRPr="00322A16">
        <w:rPr>
          <w:rFonts w:ascii="Times New Roman" w:eastAsia="宋体" w:hAnsi="Times New Roman" w:cs="Times New Roman"/>
          <w:kern w:val="0"/>
          <w:sz w:val="22"/>
          <w:shd w:val="clear" w:color="auto" w:fill="FFFFFF"/>
        </w:rPr>
        <w:t>, </w:t>
      </w:r>
      <w:r w:rsidRPr="00322A16">
        <w:rPr>
          <w:rFonts w:ascii="Times New Roman" w:eastAsia="宋体" w:hAnsi="Times New Roman" w:cs="Times New Roman"/>
          <w:i/>
          <w:iCs/>
          <w:kern w:val="0"/>
          <w:sz w:val="22"/>
          <w:shd w:val="clear" w:color="auto" w:fill="FFFFFF"/>
        </w:rPr>
        <w:t>Nicotiana tabacum</w:t>
      </w:r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 xml:space="preserve"> (</w:t>
      </w:r>
      <w:proofErr w:type="spellStart"/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>Nt</w:t>
      </w:r>
      <w:proofErr w:type="spellEnd"/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>)</w:t>
      </w:r>
      <w:r w:rsidRPr="00322A16">
        <w:rPr>
          <w:rFonts w:ascii="Times New Roman" w:eastAsia="宋体" w:hAnsi="Times New Roman" w:cs="Times New Roman"/>
          <w:kern w:val="0"/>
          <w:sz w:val="22"/>
          <w:shd w:val="clear" w:color="auto" w:fill="FFFFFF"/>
        </w:rPr>
        <w:t>, </w:t>
      </w:r>
      <w:r w:rsidRPr="00322A16">
        <w:rPr>
          <w:rFonts w:ascii="Times New Roman" w:eastAsia="宋体" w:hAnsi="Times New Roman" w:cs="Times New Roman"/>
          <w:i/>
          <w:iCs/>
          <w:kern w:val="0"/>
          <w:sz w:val="22"/>
          <w:shd w:val="clear" w:color="auto" w:fill="FFFFFF"/>
        </w:rPr>
        <w:t xml:space="preserve">Solanum </w:t>
      </w:r>
      <w:proofErr w:type="spellStart"/>
      <w:r w:rsidRPr="00322A16">
        <w:rPr>
          <w:rFonts w:ascii="Times New Roman" w:eastAsia="宋体" w:hAnsi="Times New Roman" w:cs="Times New Roman"/>
          <w:i/>
          <w:iCs/>
          <w:kern w:val="0"/>
          <w:sz w:val="22"/>
          <w:shd w:val="clear" w:color="auto" w:fill="FFFFFF"/>
        </w:rPr>
        <w:t>lycopersicum</w:t>
      </w:r>
      <w:proofErr w:type="spellEnd"/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 xml:space="preserve"> (</w:t>
      </w:r>
      <w:proofErr w:type="spellStart"/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>Sl</w:t>
      </w:r>
      <w:proofErr w:type="spellEnd"/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>)</w:t>
      </w:r>
      <w:r w:rsidRPr="00322A16">
        <w:rPr>
          <w:rFonts w:ascii="Times New Roman" w:eastAsia="宋体" w:hAnsi="Times New Roman" w:cs="Times New Roman"/>
          <w:kern w:val="0"/>
          <w:sz w:val="22"/>
          <w:shd w:val="clear" w:color="auto" w:fill="FFFFFF"/>
        </w:rPr>
        <w:t>, </w:t>
      </w:r>
      <w:r w:rsidRPr="00322A16">
        <w:rPr>
          <w:rFonts w:ascii="Times New Roman" w:eastAsia="宋体" w:hAnsi="Times New Roman" w:cs="Times New Roman"/>
          <w:i/>
          <w:iCs/>
          <w:kern w:val="0"/>
          <w:sz w:val="22"/>
          <w:shd w:val="clear" w:color="auto" w:fill="FFFFFF"/>
        </w:rPr>
        <w:t>Oryza sativa</w:t>
      </w:r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 xml:space="preserve"> (</w:t>
      </w:r>
      <w:proofErr w:type="spellStart"/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>Os</w:t>
      </w:r>
      <w:proofErr w:type="spellEnd"/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>)</w:t>
      </w:r>
      <w:r w:rsidRPr="00322A16">
        <w:rPr>
          <w:rFonts w:ascii="Times New Roman" w:eastAsia="宋体" w:hAnsi="Times New Roman" w:cs="Times New Roman"/>
          <w:kern w:val="0"/>
          <w:sz w:val="22"/>
          <w:shd w:val="clear" w:color="auto" w:fill="FFFFFF"/>
        </w:rPr>
        <w:t>, </w:t>
      </w:r>
      <w:r w:rsidRPr="00322A16">
        <w:rPr>
          <w:rFonts w:ascii="Times New Roman" w:eastAsia="宋体" w:hAnsi="Times New Roman" w:cs="Times New Roman"/>
          <w:i/>
          <w:iCs/>
          <w:kern w:val="0"/>
          <w:sz w:val="22"/>
          <w:shd w:val="clear" w:color="auto" w:fill="FFFFFF"/>
        </w:rPr>
        <w:t>Triticum aestivum</w:t>
      </w:r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 xml:space="preserve"> (Ta)</w:t>
      </w:r>
      <w:r w:rsidRPr="00322A16">
        <w:rPr>
          <w:rFonts w:ascii="Times New Roman" w:eastAsia="宋体" w:hAnsi="Times New Roman" w:cs="Times New Roman"/>
          <w:kern w:val="0"/>
          <w:sz w:val="22"/>
          <w:shd w:val="clear" w:color="auto" w:fill="FFFFFF"/>
        </w:rPr>
        <w:t>, and </w:t>
      </w:r>
      <w:proofErr w:type="spellStart"/>
      <w:r w:rsidRPr="00322A16">
        <w:rPr>
          <w:rFonts w:ascii="Times New Roman" w:eastAsia="宋体" w:hAnsi="Times New Roman" w:cs="Times New Roman"/>
          <w:i/>
          <w:iCs/>
          <w:kern w:val="0"/>
          <w:sz w:val="22"/>
          <w:shd w:val="clear" w:color="auto" w:fill="FFFFFF"/>
        </w:rPr>
        <w:t>Zea</w:t>
      </w:r>
      <w:proofErr w:type="spellEnd"/>
      <w:r w:rsidRPr="00322A16">
        <w:rPr>
          <w:rFonts w:ascii="Times New Roman" w:eastAsia="宋体" w:hAnsi="Times New Roman" w:cs="Times New Roman"/>
          <w:i/>
          <w:iCs/>
          <w:kern w:val="0"/>
          <w:sz w:val="22"/>
          <w:shd w:val="clear" w:color="auto" w:fill="FFFFFF"/>
        </w:rPr>
        <w:t xml:space="preserve"> mays</w:t>
      </w:r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 xml:space="preserve"> (</w:t>
      </w:r>
      <w:proofErr w:type="spellStart"/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>Zm</w:t>
      </w:r>
      <w:proofErr w:type="spellEnd"/>
      <w:r w:rsidRPr="00322A16">
        <w:rPr>
          <w:rFonts w:ascii="Times New Roman" w:eastAsia="宋体" w:hAnsi="Times New Roman" w:cs="Times New Roman" w:hint="eastAsia"/>
          <w:kern w:val="0"/>
          <w:sz w:val="22"/>
          <w:shd w:val="clear" w:color="auto" w:fill="FFFFFF"/>
        </w:rPr>
        <w:t>)</w:t>
      </w:r>
      <w:r w:rsidRPr="00322A16">
        <w:rPr>
          <w:rFonts w:ascii="Times New Roman" w:hAnsi="Times New Roman" w:cs="Times New Roman"/>
          <w:sz w:val="22"/>
        </w:rPr>
        <w:t>.</w:t>
      </w:r>
    </w:p>
    <w:p w14:paraId="0522892B" w14:textId="407EB40C" w:rsidR="0003706D" w:rsidRPr="00322A16" w:rsidRDefault="0003706D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61630CD6" w14:textId="763CC1CA" w:rsidR="006970D0" w:rsidRPr="00322A16" w:rsidRDefault="00AE75DD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1CC284D1" wp14:editId="75BBD90E">
            <wp:extent cx="5274310" cy="3450590"/>
            <wp:effectExtent l="0" t="0" r="2540" b="0"/>
            <wp:docPr id="130840994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EC37C" w14:textId="77777777" w:rsidR="002220FB" w:rsidRPr="00322A16" w:rsidRDefault="002220FB" w:rsidP="00396F71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 xml:space="preserve">Figure S12. Structural variation in the </w:t>
      </w:r>
      <w:r w:rsidRPr="00322A16">
        <w:rPr>
          <w:rFonts w:ascii="Times New Roman" w:hAnsi="Times New Roman" w:cs="Times New Roman"/>
          <w:b/>
          <w:bCs/>
          <w:i/>
          <w:iCs/>
          <w:sz w:val="22"/>
        </w:rPr>
        <w:t>MabHLH30</w:t>
      </w:r>
      <w:r w:rsidRPr="00322A16">
        <w:rPr>
          <w:rFonts w:ascii="Times New Roman" w:hAnsi="Times New Roman" w:cs="Times New Roman"/>
          <w:b/>
          <w:bCs/>
          <w:sz w:val="22"/>
        </w:rPr>
        <w:t xml:space="preserve"> promoter region. </w:t>
      </w:r>
      <w:r w:rsidRPr="00322A16">
        <w:rPr>
          <w:rFonts w:ascii="Times New Roman" w:hAnsi="Times New Roman" w:cs="Times New Roman"/>
          <w:sz w:val="22"/>
        </w:rPr>
        <w:t xml:space="preserve">(A) IGV visualization of a 23-bp deletion upstream of the </w:t>
      </w:r>
      <w:r w:rsidRPr="00322A16">
        <w:rPr>
          <w:rFonts w:ascii="Times New Roman" w:hAnsi="Times New Roman" w:cs="Times New Roman"/>
          <w:i/>
          <w:iCs/>
          <w:sz w:val="22"/>
        </w:rPr>
        <w:t>MabHLH30</w:t>
      </w:r>
      <w:r w:rsidRPr="00322A16">
        <w:rPr>
          <w:rFonts w:ascii="Times New Roman" w:hAnsi="Times New Roman" w:cs="Times New Roman"/>
          <w:sz w:val="22"/>
        </w:rPr>
        <w:t xml:space="preserve">. (B) PCR validation of the deletion in dwarf </w:t>
      </w:r>
      <w:r w:rsidRPr="00322A16">
        <w:rPr>
          <w:rFonts w:ascii="Times New Roman" w:hAnsi="Times New Roman" w:cs="Times New Roman"/>
          <w:i/>
          <w:iCs/>
          <w:sz w:val="22"/>
        </w:rPr>
        <w:t>vs.</w:t>
      </w:r>
      <w:r w:rsidRPr="00322A16">
        <w:rPr>
          <w:rFonts w:ascii="Times New Roman" w:hAnsi="Times New Roman" w:cs="Times New Roman"/>
          <w:sz w:val="22"/>
        </w:rPr>
        <w:t xml:space="preserve"> tall accessions.</w:t>
      </w:r>
    </w:p>
    <w:p w14:paraId="13E35C7F" w14:textId="77777777" w:rsidR="00A862C6" w:rsidRPr="00322A16" w:rsidRDefault="00A862C6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36A98F57" w14:textId="539D16DC" w:rsidR="006970D0" w:rsidRPr="00322A16" w:rsidRDefault="00AE75DD" w:rsidP="00FE2C96">
      <w:pPr>
        <w:widowControl/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3532BAC7" wp14:editId="0465E209">
            <wp:extent cx="3703320" cy="2026920"/>
            <wp:effectExtent l="0" t="0" r="0" b="0"/>
            <wp:docPr id="53778693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F087E" w14:textId="77777777" w:rsidR="002220FB" w:rsidRPr="00322A16" w:rsidRDefault="002220FB" w:rsidP="00396F71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 xml:space="preserve">Figure S13. Effect of the 23-bp deletion on plant height across genotypes AA, </w:t>
      </w:r>
      <w:proofErr w:type="spellStart"/>
      <w:r w:rsidRPr="00322A16">
        <w:rPr>
          <w:rFonts w:ascii="Times New Roman" w:hAnsi="Times New Roman" w:cs="Times New Roman"/>
          <w:b/>
          <w:bCs/>
          <w:sz w:val="22"/>
        </w:rPr>
        <w:t>AAA_Cavendish</w:t>
      </w:r>
      <w:proofErr w:type="spellEnd"/>
      <w:r w:rsidRPr="00322A16">
        <w:rPr>
          <w:rFonts w:ascii="Times New Roman" w:hAnsi="Times New Roman" w:cs="Times New Roman"/>
          <w:b/>
          <w:bCs/>
          <w:sz w:val="22"/>
        </w:rPr>
        <w:t xml:space="preserve">, </w:t>
      </w:r>
      <w:proofErr w:type="spellStart"/>
      <w:r w:rsidRPr="00322A16">
        <w:rPr>
          <w:rFonts w:ascii="Times New Roman" w:hAnsi="Times New Roman" w:cs="Times New Roman"/>
          <w:b/>
          <w:bCs/>
          <w:sz w:val="22"/>
        </w:rPr>
        <w:t>AAA_Red</w:t>
      </w:r>
      <w:proofErr w:type="spellEnd"/>
      <w:r w:rsidRPr="00322A16">
        <w:rPr>
          <w:rFonts w:ascii="Times New Roman" w:hAnsi="Times New Roman" w:cs="Times New Roman"/>
          <w:b/>
          <w:bCs/>
          <w:sz w:val="22"/>
        </w:rPr>
        <w:t>, AAAB, AAB, and ABB.</w:t>
      </w:r>
    </w:p>
    <w:p w14:paraId="6F42162B" w14:textId="77777777" w:rsidR="00A862C6" w:rsidRPr="00322A16" w:rsidRDefault="00A862C6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6D02DD2C" w14:textId="7BA6B6A6" w:rsidR="006970D0" w:rsidRPr="00322A16" w:rsidRDefault="00AE75DD" w:rsidP="007A1C5A">
      <w:pPr>
        <w:widowControl/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1DD826C4" wp14:editId="3B7E699E">
            <wp:extent cx="4556760" cy="4572000"/>
            <wp:effectExtent l="0" t="0" r="0" b="0"/>
            <wp:docPr id="68582942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494A6" w14:textId="790F982A" w:rsidR="00A862C6" w:rsidRPr="00322A16" w:rsidRDefault="007978CA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 xml:space="preserve">Figure </w:t>
      </w:r>
      <w:r w:rsidR="002A1307" w:rsidRPr="00322A16">
        <w:rPr>
          <w:rFonts w:ascii="Times New Roman" w:hAnsi="Times New Roman" w:cs="Times New Roman"/>
          <w:b/>
          <w:bCs/>
          <w:sz w:val="22"/>
        </w:rPr>
        <w:t>S14</w:t>
      </w:r>
      <w:r w:rsidR="005D6C58" w:rsidRPr="00322A16">
        <w:rPr>
          <w:rFonts w:ascii="Times New Roman" w:hAnsi="Times New Roman" w:cs="Times New Roman"/>
          <w:b/>
          <w:bCs/>
          <w:sz w:val="22"/>
        </w:rPr>
        <w:t>.</w:t>
      </w:r>
      <w:r w:rsidR="006970D0" w:rsidRPr="00322A16">
        <w:rPr>
          <w:rFonts w:ascii="Times New Roman" w:hAnsi="Times New Roman" w:cs="Times New Roman"/>
          <w:b/>
          <w:bCs/>
          <w:sz w:val="22"/>
        </w:rPr>
        <w:t xml:space="preserve"> Genome-wide f-branch statistics from </w:t>
      </w:r>
      <w:proofErr w:type="spellStart"/>
      <w:r w:rsidR="006970D0" w:rsidRPr="00322A16">
        <w:rPr>
          <w:rFonts w:ascii="Times New Roman" w:hAnsi="Times New Roman" w:cs="Times New Roman"/>
          <w:b/>
          <w:bCs/>
          <w:sz w:val="22"/>
        </w:rPr>
        <w:t>Dsuite</w:t>
      </w:r>
      <w:proofErr w:type="spellEnd"/>
      <w:r w:rsidR="006970D0" w:rsidRPr="00322A16">
        <w:rPr>
          <w:rFonts w:ascii="Times New Roman" w:hAnsi="Times New Roman" w:cs="Times New Roman"/>
          <w:b/>
          <w:bCs/>
          <w:sz w:val="22"/>
        </w:rPr>
        <w:t xml:space="preserve">, used to infer gene infiltration sources for </w:t>
      </w:r>
      <w:proofErr w:type="spellStart"/>
      <w:r w:rsidR="006970D0" w:rsidRPr="00322A16">
        <w:rPr>
          <w:rFonts w:ascii="Times New Roman" w:hAnsi="Times New Roman" w:cs="Times New Roman"/>
          <w:b/>
          <w:bCs/>
          <w:sz w:val="22"/>
        </w:rPr>
        <w:t>AAA_Cavendish</w:t>
      </w:r>
      <w:proofErr w:type="spellEnd"/>
      <w:r w:rsidR="006970D0" w:rsidRPr="00322A16">
        <w:rPr>
          <w:rFonts w:ascii="Times New Roman" w:hAnsi="Times New Roman" w:cs="Times New Roman"/>
          <w:b/>
          <w:bCs/>
          <w:sz w:val="22"/>
        </w:rPr>
        <w:t xml:space="preserve">. </w:t>
      </w:r>
      <w:r w:rsidR="006970D0" w:rsidRPr="00322A16">
        <w:rPr>
          <w:rFonts w:ascii="Times New Roman" w:hAnsi="Times New Roman" w:cs="Times New Roman"/>
          <w:sz w:val="22"/>
        </w:rPr>
        <w:t>Darker colors in the heatmap represent stronger gene flow between subgroups.</w:t>
      </w:r>
    </w:p>
    <w:p w14:paraId="39B73B1C" w14:textId="77777777" w:rsidR="00A862C6" w:rsidRPr="00322A16" w:rsidRDefault="00A862C6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3BDB9CAC" w14:textId="7D9E0986" w:rsidR="006970D0" w:rsidRPr="00322A16" w:rsidRDefault="00D246E4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lastRenderedPageBreak/>
        <w:t xml:space="preserve"> </w:t>
      </w:r>
      <w:r w:rsidR="00AE75DD" w:rsidRPr="00322A16">
        <w:rPr>
          <w:noProof/>
        </w:rPr>
        <w:drawing>
          <wp:inline distT="0" distB="0" distL="0" distR="0" wp14:anchorId="6B1F8E9F" wp14:editId="79B178B7">
            <wp:extent cx="5274310" cy="1356995"/>
            <wp:effectExtent l="0" t="0" r="2540" b="0"/>
            <wp:docPr id="12008764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247BE" w14:textId="77777777" w:rsidR="002220FB" w:rsidRPr="00322A16" w:rsidRDefault="002220FB" w:rsidP="00396F7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bookmarkStart w:id="3" w:name="_Hlk201610181"/>
      <w:r w:rsidRPr="00322A16">
        <w:rPr>
          <w:rFonts w:ascii="Times New Roman" w:hAnsi="Times New Roman" w:cs="Times New Roman"/>
          <w:b/>
          <w:bCs/>
          <w:sz w:val="22"/>
        </w:rPr>
        <w:t xml:space="preserve">Figure S15. Overexpression of </w:t>
      </w:r>
      <w:r w:rsidRPr="00322A16">
        <w:rPr>
          <w:rFonts w:ascii="Times New Roman" w:hAnsi="Times New Roman" w:cs="Times New Roman"/>
          <w:b/>
          <w:bCs/>
          <w:i/>
          <w:iCs/>
          <w:sz w:val="22"/>
        </w:rPr>
        <w:t xml:space="preserve">MabHLH30 </w:t>
      </w:r>
      <w:r w:rsidRPr="00322A16">
        <w:rPr>
          <w:rFonts w:ascii="Times New Roman" w:hAnsi="Times New Roman" w:cs="Times New Roman"/>
          <w:b/>
          <w:bCs/>
          <w:sz w:val="22"/>
        </w:rPr>
        <w:t xml:space="preserve">increases plant height in </w:t>
      </w:r>
      <w:r w:rsidRPr="00322A16">
        <w:rPr>
          <w:rFonts w:ascii="Times New Roman" w:hAnsi="Times New Roman" w:cs="Times New Roman"/>
          <w:b/>
          <w:bCs/>
          <w:i/>
          <w:iCs/>
          <w:sz w:val="22"/>
        </w:rPr>
        <w:t>Arabidopsis.</w:t>
      </w:r>
    </w:p>
    <w:p w14:paraId="2006EC56" w14:textId="42F81048" w:rsidR="002220FB" w:rsidRPr="00322A16" w:rsidRDefault="002220FB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 xml:space="preserve">(A) Growth phenotypes of Col-0 wild type and transgenic lines (OE-2, OE-6, OE-8). Scale bars, 1 cm. (B) Relative expression levels of </w:t>
      </w:r>
      <w:r w:rsidRPr="00322A16">
        <w:rPr>
          <w:rFonts w:ascii="Times New Roman" w:hAnsi="Times New Roman" w:cs="Times New Roman"/>
          <w:i/>
          <w:iCs/>
          <w:sz w:val="22"/>
        </w:rPr>
        <w:t>MabHLH30</w:t>
      </w:r>
      <w:r w:rsidRPr="00322A16">
        <w:rPr>
          <w:rFonts w:ascii="Times New Roman" w:hAnsi="Times New Roman" w:cs="Times New Roman"/>
          <w:sz w:val="22"/>
        </w:rPr>
        <w:t xml:space="preserve"> in Col and overexpression plants. Data are presented as mean ± </w:t>
      </w:r>
      <w:r w:rsidRPr="00322A16">
        <w:rPr>
          <w:rFonts w:ascii="Times New Roman" w:hAnsi="Times New Roman" w:cs="Times New Roman"/>
          <w:i/>
          <w:iCs/>
          <w:sz w:val="22"/>
        </w:rPr>
        <w:t>SD</w:t>
      </w:r>
      <w:r w:rsidR="00472AE7" w:rsidRPr="00322A16">
        <w:rPr>
          <w:rFonts w:ascii="Times New Roman" w:hAnsi="Times New Roman" w:cs="Times New Roman" w:hint="eastAsia"/>
          <w:sz w:val="22"/>
        </w:rPr>
        <w:t xml:space="preserve"> </w:t>
      </w:r>
      <w:r w:rsidR="00472AE7" w:rsidRPr="00322A16">
        <w:rPr>
          <w:rFonts w:ascii="Times New Roman" w:hAnsi="Times New Roman" w:cs="Times New Roman"/>
          <w:sz w:val="22"/>
        </w:rPr>
        <w:t>(</w:t>
      </w:r>
      <w:r w:rsidR="00472AE7" w:rsidRPr="00322A16">
        <w:rPr>
          <w:rFonts w:ascii="Times New Roman" w:hAnsi="Times New Roman" w:cs="Times New Roman"/>
          <w:i/>
          <w:iCs/>
          <w:sz w:val="22"/>
        </w:rPr>
        <w:t>n</w:t>
      </w:r>
      <w:r w:rsidR="00472AE7" w:rsidRPr="00322A16">
        <w:rPr>
          <w:rFonts w:ascii="Times New Roman" w:hAnsi="Times New Roman" w:cs="Times New Roman"/>
          <w:sz w:val="22"/>
        </w:rPr>
        <w:t> = </w:t>
      </w:r>
      <w:r w:rsidR="00472AE7" w:rsidRPr="00322A16">
        <w:rPr>
          <w:rFonts w:ascii="Times New Roman" w:hAnsi="Times New Roman" w:cs="Times New Roman" w:hint="eastAsia"/>
          <w:sz w:val="22"/>
        </w:rPr>
        <w:t>3</w:t>
      </w:r>
      <w:r w:rsidR="00472AE7" w:rsidRPr="00322A16">
        <w:rPr>
          <w:rFonts w:ascii="Times New Roman" w:hAnsi="Times New Roman" w:cs="Times New Roman"/>
          <w:sz w:val="22"/>
        </w:rPr>
        <w:t>)</w:t>
      </w:r>
      <w:r w:rsidRPr="00322A16">
        <w:rPr>
          <w:rFonts w:ascii="Times New Roman" w:hAnsi="Times New Roman" w:cs="Times New Roman"/>
          <w:sz w:val="22"/>
        </w:rPr>
        <w:t xml:space="preserve">. </w:t>
      </w:r>
      <w:r w:rsidRPr="00322A16">
        <w:rPr>
          <w:rFonts w:ascii="Times New Roman" w:hAnsi="Times New Roman" w:cs="Times New Roman"/>
          <w:i/>
          <w:iCs/>
          <w:sz w:val="22"/>
        </w:rPr>
        <w:t>P</w:t>
      </w:r>
      <w:r w:rsidRPr="00322A16">
        <w:rPr>
          <w:rFonts w:ascii="Times New Roman" w:hAnsi="Times New Roman" w:cs="Times New Roman"/>
          <w:sz w:val="22"/>
        </w:rPr>
        <w:t xml:space="preserve"> values were calculated using a two-tailed Student’s </w:t>
      </w:r>
      <w:r w:rsidRPr="00322A16">
        <w:rPr>
          <w:rFonts w:ascii="Times New Roman" w:hAnsi="Times New Roman" w:cs="Times New Roman"/>
          <w:i/>
          <w:iCs/>
          <w:sz w:val="22"/>
        </w:rPr>
        <w:t>t</w:t>
      </w:r>
      <w:r w:rsidRPr="00322A16">
        <w:rPr>
          <w:rFonts w:ascii="Times New Roman" w:hAnsi="Times New Roman" w:cs="Times New Roman"/>
          <w:sz w:val="22"/>
        </w:rPr>
        <w:t xml:space="preserve"> test. The asterisks indicate significant differences (**</w:t>
      </w:r>
      <w:r w:rsidRPr="00322A16">
        <w:rPr>
          <w:rFonts w:ascii="Times New Roman" w:hAnsi="Times New Roman" w:cs="Times New Roman"/>
          <w:i/>
          <w:iCs/>
          <w:sz w:val="22"/>
        </w:rPr>
        <w:t>p</w:t>
      </w:r>
      <w:r w:rsidRPr="00322A16">
        <w:rPr>
          <w:rFonts w:ascii="Times New Roman" w:hAnsi="Times New Roman" w:cs="Times New Roman"/>
          <w:sz w:val="22"/>
        </w:rPr>
        <w:t xml:space="preserve">&lt;0.01). (C) Comparison of plant height between Col and overexpression plants. Data are presented as mean ± </w:t>
      </w:r>
      <w:r w:rsidRPr="00322A16">
        <w:rPr>
          <w:rFonts w:ascii="Times New Roman" w:hAnsi="Times New Roman" w:cs="Times New Roman"/>
          <w:i/>
          <w:iCs/>
          <w:sz w:val="22"/>
        </w:rPr>
        <w:t>SD</w:t>
      </w:r>
      <w:r w:rsidRPr="00322A16">
        <w:rPr>
          <w:rFonts w:ascii="Times New Roman" w:hAnsi="Times New Roman" w:cs="Times New Roman"/>
          <w:sz w:val="22"/>
        </w:rPr>
        <w:t xml:space="preserve"> </w:t>
      </w:r>
      <w:r w:rsidR="00472AE7" w:rsidRPr="00322A16">
        <w:rPr>
          <w:rFonts w:ascii="Times New Roman" w:hAnsi="Times New Roman" w:cs="Times New Roman"/>
          <w:sz w:val="22"/>
        </w:rPr>
        <w:t>(</w:t>
      </w:r>
      <w:r w:rsidR="00472AE7" w:rsidRPr="00322A16">
        <w:rPr>
          <w:rFonts w:ascii="Times New Roman" w:hAnsi="Times New Roman" w:cs="Times New Roman"/>
          <w:i/>
          <w:iCs/>
          <w:sz w:val="22"/>
        </w:rPr>
        <w:t>n</w:t>
      </w:r>
      <w:r w:rsidR="00472AE7" w:rsidRPr="00322A16">
        <w:rPr>
          <w:rFonts w:ascii="Times New Roman" w:hAnsi="Times New Roman" w:cs="Times New Roman"/>
          <w:sz w:val="22"/>
        </w:rPr>
        <w:t> = </w:t>
      </w:r>
      <w:r w:rsidR="00472AE7" w:rsidRPr="00322A16">
        <w:rPr>
          <w:rFonts w:ascii="Times New Roman" w:hAnsi="Times New Roman" w:cs="Times New Roman" w:hint="eastAsia"/>
          <w:sz w:val="22"/>
        </w:rPr>
        <w:t>8</w:t>
      </w:r>
      <w:r w:rsidR="00472AE7" w:rsidRPr="00322A16">
        <w:rPr>
          <w:rFonts w:ascii="Times New Roman" w:hAnsi="Times New Roman" w:cs="Times New Roman"/>
          <w:sz w:val="22"/>
        </w:rPr>
        <w:t>)</w:t>
      </w:r>
      <w:r w:rsidRPr="00322A16">
        <w:rPr>
          <w:rFonts w:ascii="Times New Roman" w:hAnsi="Times New Roman" w:cs="Times New Roman"/>
          <w:sz w:val="22"/>
        </w:rPr>
        <w:t xml:space="preserve">. </w:t>
      </w:r>
      <w:r w:rsidRPr="00322A16">
        <w:rPr>
          <w:rFonts w:ascii="Times New Roman" w:hAnsi="Times New Roman" w:cs="Times New Roman"/>
          <w:i/>
          <w:iCs/>
          <w:sz w:val="22"/>
        </w:rPr>
        <w:t>P</w:t>
      </w:r>
      <w:r w:rsidRPr="00322A16">
        <w:rPr>
          <w:rFonts w:ascii="Times New Roman" w:hAnsi="Times New Roman" w:cs="Times New Roman"/>
          <w:sz w:val="22"/>
        </w:rPr>
        <w:t xml:space="preserve"> values were calculated using a two-tailed Student</w:t>
      </w:r>
      <w:r w:rsidR="000854DF" w:rsidRPr="00322A16">
        <w:rPr>
          <w:rFonts w:ascii="Times New Roman" w:hAnsi="Times New Roman" w:cs="Times New Roman"/>
          <w:sz w:val="22"/>
        </w:rPr>
        <w:t>’</w:t>
      </w:r>
      <w:r w:rsidRPr="00322A16">
        <w:rPr>
          <w:rFonts w:ascii="Times New Roman" w:hAnsi="Times New Roman" w:cs="Times New Roman"/>
          <w:sz w:val="22"/>
        </w:rPr>
        <w:t xml:space="preserve">s </w:t>
      </w:r>
      <w:r w:rsidRPr="00322A16">
        <w:rPr>
          <w:rFonts w:ascii="Times New Roman" w:hAnsi="Times New Roman" w:cs="Times New Roman"/>
          <w:i/>
          <w:iCs/>
          <w:sz w:val="22"/>
        </w:rPr>
        <w:t>t</w:t>
      </w:r>
      <w:r w:rsidRPr="00322A16">
        <w:rPr>
          <w:rFonts w:ascii="Times New Roman" w:hAnsi="Times New Roman" w:cs="Times New Roman"/>
          <w:sz w:val="22"/>
        </w:rPr>
        <w:t xml:space="preserve"> test. The asterisks indicate significant differences (*</w:t>
      </w:r>
      <w:r w:rsidRPr="00322A16">
        <w:rPr>
          <w:rFonts w:ascii="Times New Roman" w:hAnsi="Times New Roman" w:cs="Times New Roman"/>
          <w:i/>
          <w:iCs/>
          <w:sz w:val="22"/>
        </w:rPr>
        <w:t>p</w:t>
      </w:r>
      <w:r w:rsidRPr="00322A16">
        <w:rPr>
          <w:rFonts w:ascii="Times New Roman" w:hAnsi="Times New Roman" w:cs="Times New Roman"/>
          <w:sz w:val="22"/>
        </w:rPr>
        <w:t>&lt;0.1, **</w:t>
      </w:r>
      <w:r w:rsidRPr="00322A16">
        <w:rPr>
          <w:rFonts w:ascii="Times New Roman" w:hAnsi="Times New Roman" w:cs="Times New Roman"/>
          <w:i/>
          <w:iCs/>
          <w:sz w:val="22"/>
        </w:rPr>
        <w:t>p</w:t>
      </w:r>
      <w:r w:rsidRPr="00322A16">
        <w:rPr>
          <w:rFonts w:ascii="Times New Roman" w:hAnsi="Times New Roman" w:cs="Times New Roman"/>
          <w:sz w:val="22"/>
        </w:rPr>
        <w:t>&lt;0.01)</w:t>
      </w:r>
      <w:r w:rsidR="000854DF" w:rsidRPr="00322A16">
        <w:rPr>
          <w:rFonts w:ascii="Times New Roman" w:hAnsi="Times New Roman" w:cs="Times New Roman"/>
          <w:sz w:val="22"/>
        </w:rPr>
        <w:t>.</w:t>
      </w:r>
    </w:p>
    <w:bookmarkEnd w:id="3"/>
    <w:p w14:paraId="45D39D09" w14:textId="3E72F381" w:rsidR="001E5517" w:rsidRPr="00322A16" w:rsidRDefault="00A862C6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31D41E83" w14:textId="4F646AD4" w:rsidR="001E5517" w:rsidRPr="00322A16" w:rsidRDefault="00AE75DD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641A4F76" wp14:editId="44630D01">
            <wp:extent cx="5274310" cy="1995805"/>
            <wp:effectExtent l="0" t="0" r="2540" b="4445"/>
            <wp:docPr id="115191533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9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C3B96" w14:textId="77777777" w:rsidR="000854DF" w:rsidRPr="00322A16" w:rsidRDefault="000854DF" w:rsidP="00396F71">
      <w:pPr>
        <w:spacing w:line="360" w:lineRule="auto"/>
        <w:rPr>
          <w:rFonts w:ascii="Times New Roman" w:eastAsia="宋体" w:hAnsi="Times New Roman" w:cs="Times New Roman"/>
          <w:b/>
          <w:bCs/>
          <w:kern w:val="0"/>
          <w:sz w:val="22"/>
        </w:rPr>
      </w:pPr>
      <w:bookmarkStart w:id="4" w:name="_Hlk198063497"/>
      <w:r w:rsidRPr="00322A16">
        <w:rPr>
          <w:rFonts w:ascii="Times New Roman" w:eastAsia="宋体" w:hAnsi="Times New Roman" w:cs="Times New Roman"/>
          <w:b/>
          <w:bCs/>
          <w:kern w:val="0"/>
          <w:sz w:val="22"/>
        </w:rPr>
        <w:t xml:space="preserve">Figure S16. Overexpression of </w:t>
      </w:r>
      <w:r w:rsidRPr="00322A16">
        <w:rPr>
          <w:rFonts w:ascii="Times New Roman" w:eastAsia="宋体" w:hAnsi="Times New Roman" w:cs="Times New Roman"/>
          <w:b/>
          <w:bCs/>
          <w:i/>
          <w:iCs/>
          <w:kern w:val="0"/>
          <w:sz w:val="22"/>
        </w:rPr>
        <w:t>MabHLH30</w:t>
      </w:r>
      <w:r w:rsidRPr="00322A16">
        <w:rPr>
          <w:rFonts w:ascii="Times New Roman" w:eastAsia="宋体" w:hAnsi="Times New Roman" w:cs="Times New Roman"/>
          <w:b/>
          <w:bCs/>
          <w:kern w:val="0"/>
          <w:sz w:val="22"/>
        </w:rPr>
        <w:t xml:space="preserve"> enhances banana plant height in banana under field conditions in Sanya.</w:t>
      </w:r>
    </w:p>
    <w:p w14:paraId="1D937EC4" w14:textId="0B5DE1C0" w:rsidR="00A862C6" w:rsidRPr="00322A16" w:rsidRDefault="000854DF" w:rsidP="00396F71">
      <w:pPr>
        <w:spacing w:line="360" w:lineRule="auto"/>
        <w:rPr>
          <w:rFonts w:ascii="Times New Roman" w:eastAsia="宋体" w:hAnsi="Times New Roman" w:cs="Times New Roman"/>
          <w:kern w:val="0"/>
          <w:sz w:val="22"/>
        </w:rPr>
      </w:pPr>
      <w:r w:rsidRPr="00322A16">
        <w:rPr>
          <w:rFonts w:ascii="Times New Roman" w:eastAsia="宋体" w:hAnsi="Times New Roman" w:cs="Times New Roman"/>
          <w:kern w:val="0"/>
          <w:sz w:val="22"/>
        </w:rPr>
        <w:t xml:space="preserve">(A) Phenotypes of </w:t>
      </w:r>
      <w:r w:rsidRPr="00322A16">
        <w:rPr>
          <w:rFonts w:ascii="Times New Roman" w:eastAsia="宋体" w:hAnsi="Times New Roman" w:cs="Times New Roman"/>
          <w:i/>
          <w:iCs/>
          <w:kern w:val="0"/>
          <w:sz w:val="22"/>
        </w:rPr>
        <w:t>MabHLH30</w:t>
      </w:r>
      <w:r w:rsidRPr="00322A16">
        <w:rPr>
          <w:rFonts w:ascii="Times New Roman" w:eastAsia="宋体" w:hAnsi="Times New Roman" w:cs="Times New Roman"/>
          <w:kern w:val="0"/>
          <w:sz w:val="22"/>
        </w:rPr>
        <w:t xml:space="preserve"> overexpression (OE) lines (#46, #108) and wild-type (WT) plants grown in Sanya</w:t>
      </w:r>
      <w:r w:rsidR="00472AE7" w:rsidRPr="00322A16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472AE7" w:rsidRPr="00322A16">
        <w:rPr>
          <w:rFonts w:ascii="Times New Roman" w:eastAsia="宋体" w:hAnsi="Times New Roman" w:cs="Times New Roman"/>
          <w:kern w:val="0"/>
          <w:sz w:val="22"/>
        </w:rPr>
        <w:t>(</w:t>
      </w:r>
      <w:r w:rsidR="00472AE7" w:rsidRPr="00322A16">
        <w:rPr>
          <w:rFonts w:ascii="Times New Roman" w:eastAsia="宋体" w:hAnsi="Times New Roman" w:cs="Times New Roman"/>
          <w:i/>
          <w:iCs/>
          <w:kern w:val="0"/>
          <w:sz w:val="22"/>
        </w:rPr>
        <w:t>n</w:t>
      </w:r>
      <w:r w:rsidR="00472AE7" w:rsidRPr="00322A16">
        <w:rPr>
          <w:rFonts w:ascii="Times New Roman" w:eastAsia="宋体" w:hAnsi="Times New Roman" w:cs="Times New Roman"/>
          <w:kern w:val="0"/>
          <w:sz w:val="22"/>
        </w:rPr>
        <w:t> = </w:t>
      </w:r>
      <w:r w:rsidR="003E0C05" w:rsidRPr="00322A16">
        <w:rPr>
          <w:rFonts w:ascii="Times New Roman" w:eastAsia="宋体" w:hAnsi="Times New Roman" w:cs="Times New Roman" w:hint="eastAsia"/>
          <w:kern w:val="0"/>
          <w:sz w:val="22"/>
        </w:rPr>
        <w:t>20</w:t>
      </w:r>
      <w:r w:rsidR="00472AE7" w:rsidRPr="00322A16">
        <w:rPr>
          <w:rFonts w:ascii="Times New Roman" w:eastAsia="宋体" w:hAnsi="Times New Roman" w:cs="Times New Roman"/>
          <w:kern w:val="0"/>
          <w:sz w:val="22"/>
        </w:rPr>
        <w:t>)</w:t>
      </w:r>
      <w:r w:rsidRPr="00322A16">
        <w:rPr>
          <w:rFonts w:ascii="Times New Roman" w:eastAsia="宋体" w:hAnsi="Times New Roman" w:cs="Times New Roman"/>
          <w:kern w:val="0"/>
          <w:sz w:val="22"/>
        </w:rPr>
        <w:t xml:space="preserve">. Scale bar, 20 cm. (B) Quantification of plant height in OE and WT plants. Data are presented as mean ± </w:t>
      </w:r>
      <w:r w:rsidRPr="00322A16">
        <w:rPr>
          <w:rFonts w:ascii="Times New Roman" w:eastAsia="宋体" w:hAnsi="Times New Roman" w:cs="Times New Roman"/>
          <w:i/>
          <w:iCs/>
          <w:kern w:val="0"/>
          <w:sz w:val="22"/>
        </w:rPr>
        <w:t>SD</w:t>
      </w:r>
      <w:r w:rsidRPr="00322A16">
        <w:rPr>
          <w:rFonts w:ascii="Times New Roman" w:eastAsia="宋体" w:hAnsi="Times New Roman" w:cs="Times New Roman"/>
          <w:kern w:val="0"/>
          <w:sz w:val="22"/>
        </w:rPr>
        <w:t xml:space="preserve">. </w:t>
      </w:r>
      <w:r w:rsidRPr="00322A16">
        <w:rPr>
          <w:rFonts w:ascii="Times New Roman" w:eastAsia="宋体" w:hAnsi="Times New Roman" w:cs="Times New Roman"/>
          <w:i/>
          <w:iCs/>
          <w:kern w:val="0"/>
          <w:sz w:val="22"/>
        </w:rPr>
        <w:t>P</w:t>
      </w:r>
      <w:r w:rsidRPr="00322A16">
        <w:rPr>
          <w:rFonts w:ascii="Times New Roman" w:eastAsia="宋体" w:hAnsi="Times New Roman" w:cs="Times New Roman"/>
          <w:kern w:val="0"/>
          <w:sz w:val="22"/>
        </w:rPr>
        <w:t xml:space="preserve"> values were calculated using a two-tailed Student’s </w:t>
      </w:r>
      <w:r w:rsidRPr="00322A16">
        <w:rPr>
          <w:rFonts w:ascii="Times New Roman" w:eastAsia="宋体" w:hAnsi="Times New Roman" w:cs="Times New Roman"/>
          <w:i/>
          <w:iCs/>
          <w:kern w:val="0"/>
          <w:sz w:val="22"/>
        </w:rPr>
        <w:t xml:space="preserve">t </w:t>
      </w:r>
      <w:r w:rsidRPr="00322A16">
        <w:rPr>
          <w:rFonts w:ascii="Times New Roman" w:eastAsia="宋体" w:hAnsi="Times New Roman" w:cs="Times New Roman"/>
          <w:kern w:val="0"/>
          <w:sz w:val="22"/>
        </w:rPr>
        <w:t>test. Asterisks indicate significant differences (**</w:t>
      </w:r>
      <w:r w:rsidRPr="00322A16">
        <w:rPr>
          <w:rFonts w:ascii="Times New Roman" w:eastAsia="宋体" w:hAnsi="Times New Roman" w:cs="Times New Roman"/>
          <w:i/>
          <w:iCs/>
          <w:kern w:val="0"/>
          <w:sz w:val="22"/>
        </w:rPr>
        <w:t>P</w:t>
      </w:r>
      <w:r w:rsidRPr="00322A16">
        <w:rPr>
          <w:rFonts w:ascii="Times New Roman" w:eastAsia="宋体" w:hAnsi="Times New Roman" w:cs="Times New Roman"/>
          <w:kern w:val="0"/>
          <w:sz w:val="22"/>
        </w:rPr>
        <w:t xml:space="preserve"> &lt; 0.01).</w:t>
      </w:r>
      <w:bookmarkEnd w:id="4"/>
      <w:r w:rsidR="001E5517" w:rsidRPr="00322A16">
        <w:rPr>
          <w:rFonts w:ascii="Times New Roman" w:hAnsi="Times New Roman" w:cs="Times New Roman"/>
          <w:sz w:val="22"/>
        </w:rPr>
        <w:br w:type="page"/>
      </w:r>
    </w:p>
    <w:p w14:paraId="64D75474" w14:textId="438A0182" w:rsidR="006970D0" w:rsidRPr="00322A16" w:rsidRDefault="00AE75DD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247B5F60" wp14:editId="29DAA21D">
            <wp:extent cx="5166360" cy="1584960"/>
            <wp:effectExtent l="0" t="0" r="0" b="0"/>
            <wp:docPr id="214526914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43DAF" w14:textId="77777777" w:rsidR="000854DF" w:rsidRPr="00322A16" w:rsidRDefault="000854DF" w:rsidP="00396F71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  <w:bookmarkStart w:id="5" w:name="_Hlk201610206"/>
      <w:r w:rsidRPr="00322A16">
        <w:rPr>
          <w:rFonts w:ascii="Times New Roman" w:hAnsi="Times New Roman" w:cs="Times New Roman"/>
          <w:b/>
          <w:bCs/>
          <w:sz w:val="22"/>
        </w:rPr>
        <w:t xml:space="preserve">Figure S17. Effects of </w:t>
      </w:r>
      <w:r w:rsidRPr="00322A16">
        <w:rPr>
          <w:rFonts w:ascii="Times New Roman" w:hAnsi="Times New Roman" w:cs="Times New Roman"/>
          <w:b/>
          <w:bCs/>
          <w:i/>
          <w:iCs/>
          <w:sz w:val="22"/>
        </w:rPr>
        <w:t>MabHLH30</w:t>
      </w:r>
      <w:r w:rsidRPr="00322A16">
        <w:rPr>
          <w:rFonts w:ascii="Times New Roman" w:hAnsi="Times New Roman" w:cs="Times New Roman"/>
          <w:b/>
          <w:bCs/>
          <w:sz w:val="22"/>
        </w:rPr>
        <w:t xml:space="preserve"> on leaf morphology.</w:t>
      </w:r>
    </w:p>
    <w:p w14:paraId="3ACF0A10" w14:textId="3DF3E53F" w:rsidR="000854DF" w:rsidRPr="00322A16" w:rsidRDefault="000854DF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>Comparison of the leaf length-to-width ratio (A) and leaf area (B) between WT and OE lines</w:t>
      </w:r>
      <w:r w:rsidR="003E0C05" w:rsidRPr="00322A16">
        <w:rPr>
          <w:rFonts w:ascii="Times New Roman" w:hAnsi="Times New Roman" w:cs="Times New Roman" w:hint="eastAsia"/>
          <w:sz w:val="22"/>
        </w:rPr>
        <w:t xml:space="preserve"> </w:t>
      </w:r>
      <w:r w:rsidR="003E0C05" w:rsidRPr="00322A16">
        <w:rPr>
          <w:rFonts w:ascii="Times New Roman" w:hAnsi="Times New Roman" w:cs="Times New Roman"/>
          <w:sz w:val="22"/>
        </w:rPr>
        <w:t>(</w:t>
      </w:r>
      <w:r w:rsidR="003E0C05" w:rsidRPr="00322A16">
        <w:rPr>
          <w:rFonts w:ascii="Times New Roman" w:hAnsi="Times New Roman" w:cs="Times New Roman"/>
          <w:i/>
          <w:iCs/>
          <w:sz w:val="22"/>
        </w:rPr>
        <w:t>n</w:t>
      </w:r>
      <w:r w:rsidR="003E0C05" w:rsidRPr="00322A16">
        <w:rPr>
          <w:rFonts w:ascii="Times New Roman" w:hAnsi="Times New Roman" w:cs="Times New Roman"/>
          <w:sz w:val="22"/>
        </w:rPr>
        <w:t> </w:t>
      </w:r>
      <w:r w:rsidR="003E0C05" w:rsidRPr="00322A16">
        <w:rPr>
          <w:rFonts w:ascii="Times New Roman" w:hAnsi="Times New Roman" w:cs="Times New Roman" w:hint="eastAsia"/>
          <w:sz w:val="22"/>
        </w:rPr>
        <w:t>&gt;</w:t>
      </w:r>
      <w:r w:rsidR="003E0C05" w:rsidRPr="00322A16">
        <w:rPr>
          <w:rFonts w:ascii="Times New Roman" w:hAnsi="Times New Roman" w:cs="Times New Roman"/>
          <w:sz w:val="22"/>
        </w:rPr>
        <w:t> </w:t>
      </w:r>
      <w:r w:rsidR="003E0C05" w:rsidRPr="00322A16">
        <w:rPr>
          <w:rFonts w:ascii="Times New Roman" w:hAnsi="Times New Roman" w:cs="Times New Roman" w:hint="eastAsia"/>
          <w:sz w:val="22"/>
        </w:rPr>
        <w:t>12</w:t>
      </w:r>
      <w:r w:rsidR="003E0C05" w:rsidRPr="00322A16">
        <w:rPr>
          <w:rFonts w:ascii="Times New Roman" w:hAnsi="Times New Roman" w:cs="Times New Roman"/>
          <w:sz w:val="22"/>
        </w:rPr>
        <w:t>)</w:t>
      </w:r>
      <w:r w:rsidRPr="00322A16">
        <w:rPr>
          <w:rFonts w:ascii="Times New Roman" w:hAnsi="Times New Roman" w:cs="Times New Roman"/>
          <w:sz w:val="22"/>
        </w:rPr>
        <w:t xml:space="preserve">. Data are presented as mean ± </w:t>
      </w:r>
      <w:r w:rsidRPr="00322A16">
        <w:rPr>
          <w:rFonts w:ascii="Times New Roman" w:hAnsi="Times New Roman" w:cs="Times New Roman"/>
          <w:i/>
          <w:iCs/>
          <w:sz w:val="22"/>
        </w:rPr>
        <w:t>SD</w:t>
      </w:r>
      <w:r w:rsidRPr="00322A16">
        <w:rPr>
          <w:rFonts w:ascii="Times New Roman" w:hAnsi="Times New Roman" w:cs="Times New Roman"/>
          <w:sz w:val="22"/>
        </w:rPr>
        <w:t xml:space="preserve">. </w:t>
      </w:r>
      <w:r w:rsidRPr="00322A16">
        <w:rPr>
          <w:rFonts w:ascii="Times New Roman" w:hAnsi="Times New Roman" w:cs="Times New Roman"/>
          <w:i/>
          <w:iCs/>
          <w:sz w:val="22"/>
        </w:rPr>
        <w:t>P</w:t>
      </w:r>
      <w:r w:rsidRPr="00322A16">
        <w:rPr>
          <w:rFonts w:ascii="Times New Roman" w:hAnsi="Times New Roman" w:cs="Times New Roman"/>
          <w:sz w:val="22"/>
        </w:rPr>
        <w:t xml:space="preserve"> values were calculated using a two-tailed Student’s </w:t>
      </w:r>
      <w:r w:rsidRPr="00322A16">
        <w:rPr>
          <w:rFonts w:ascii="Times New Roman" w:hAnsi="Times New Roman" w:cs="Times New Roman"/>
          <w:i/>
          <w:iCs/>
          <w:sz w:val="22"/>
        </w:rPr>
        <w:t>t</w:t>
      </w:r>
      <w:r w:rsidRPr="00322A16">
        <w:rPr>
          <w:rFonts w:ascii="Times New Roman" w:hAnsi="Times New Roman" w:cs="Times New Roman"/>
          <w:sz w:val="22"/>
        </w:rPr>
        <w:t xml:space="preserve"> test. The asterisks indicate significant differences (**</w:t>
      </w:r>
      <w:r w:rsidRPr="00322A16">
        <w:rPr>
          <w:rFonts w:ascii="Times New Roman" w:hAnsi="Times New Roman" w:cs="Times New Roman"/>
          <w:i/>
          <w:iCs/>
          <w:sz w:val="22"/>
        </w:rPr>
        <w:t>p</w:t>
      </w:r>
      <w:r w:rsidRPr="00322A16">
        <w:rPr>
          <w:rFonts w:ascii="Times New Roman" w:hAnsi="Times New Roman" w:cs="Times New Roman"/>
          <w:sz w:val="22"/>
        </w:rPr>
        <w:t>&lt;0.01).</w:t>
      </w:r>
    </w:p>
    <w:bookmarkEnd w:id="5"/>
    <w:p w14:paraId="1A768074" w14:textId="77777777" w:rsidR="00A862C6" w:rsidRPr="00322A16" w:rsidRDefault="00A862C6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30D96F30" w14:textId="20D75B81" w:rsidR="006970D0" w:rsidRPr="00322A16" w:rsidRDefault="00AE75DD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560FD9A8" wp14:editId="27F14A83">
            <wp:extent cx="5274310" cy="1715770"/>
            <wp:effectExtent l="0" t="0" r="2540" b="0"/>
            <wp:docPr id="184541615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1635F" w14:textId="77777777" w:rsidR="000854DF" w:rsidRPr="00322A16" w:rsidRDefault="000854DF" w:rsidP="00396F71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>Figure S18. Genome-wide identification of MabHLH30 binding sites using DAP-seq.</w:t>
      </w:r>
    </w:p>
    <w:p w14:paraId="04B5CF02" w14:textId="10AE379D" w:rsidR="00A862C6" w:rsidRPr="00322A16" w:rsidRDefault="000854DF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>(A) Number of binding peaks detected in two biological replicates. (B) Distribution of MabHLH30 binding sites across genomic features.</w:t>
      </w:r>
      <w:r w:rsidR="00A862C6" w:rsidRPr="00322A16">
        <w:rPr>
          <w:rFonts w:ascii="Times New Roman" w:hAnsi="Times New Roman" w:cs="Times New Roman"/>
          <w:sz w:val="22"/>
        </w:rPr>
        <w:br w:type="page"/>
      </w:r>
    </w:p>
    <w:p w14:paraId="3C3A5C60" w14:textId="1E6B8783" w:rsidR="006970D0" w:rsidRPr="00322A16" w:rsidRDefault="00AE75DD" w:rsidP="00396F71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5611C13C" wp14:editId="20B06DAB">
            <wp:extent cx="5274310" cy="3332480"/>
            <wp:effectExtent l="0" t="0" r="2540" b="1270"/>
            <wp:docPr id="86752286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3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1253A" w14:textId="77777777" w:rsidR="000854DF" w:rsidRPr="00322A16" w:rsidRDefault="000854DF" w:rsidP="00396F7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 xml:space="preserve">Figure S19. Differentially expressed genes (DEGs) in </w:t>
      </w:r>
      <w:r w:rsidRPr="00322A16">
        <w:rPr>
          <w:rFonts w:ascii="Times New Roman" w:hAnsi="Times New Roman" w:cs="Times New Roman"/>
          <w:b/>
          <w:bCs/>
          <w:i/>
          <w:iCs/>
          <w:sz w:val="22"/>
        </w:rPr>
        <w:t>MabHLH30</w:t>
      </w:r>
      <w:r w:rsidRPr="00322A16">
        <w:rPr>
          <w:rFonts w:ascii="Times New Roman" w:hAnsi="Times New Roman" w:cs="Times New Roman"/>
          <w:b/>
          <w:bCs/>
          <w:sz w:val="22"/>
        </w:rPr>
        <w:t xml:space="preserve"> overexpression lines compared to wild type. </w:t>
      </w:r>
    </w:p>
    <w:p w14:paraId="6B33E6FE" w14:textId="058BB0B0" w:rsidR="00A862C6" w:rsidRPr="00322A16" w:rsidRDefault="000854DF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t xml:space="preserve">(A) Venn diagram showing the overlap of significantly downregulated genes in two </w:t>
      </w:r>
      <w:r w:rsidRPr="00322A16">
        <w:rPr>
          <w:rFonts w:ascii="Times New Roman" w:hAnsi="Times New Roman" w:cs="Times New Roman"/>
          <w:i/>
          <w:iCs/>
          <w:sz w:val="22"/>
        </w:rPr>
        <w:t xml:space="preserve">MabHLH30 </w:t>
      </w:r>
      <w:r w:rsidRPr="00322A16">
        <w:rPr>
          <w:rFonts w:ascii="Times New Roman" w:hAnsi="Times New Roman" w:cs="Times New Roman"/>
          <w:sz w:val="22"/>
        </w:rPr>
        <w:t>overexpression lines (#46 and #108) relative to WT plants. (B) Venn diagram showing the overlap of significantly upregulated genes in lines #46 and #108 relative to WT.</w:t>
      </w:r>
      <w:r w:rsidR="00931005" w:rsidRPr="00322A16">
        <w:rPr>
          <w:rFonts w:ascii="Times New Roman" w:hAnsi="Times New Roman" w:cs="Times New Roman" w:hint="eastAsia"/>
          <w:sz w:val="22"/>
        </w:rPr>
        <w:t xml:space="preserve"> </w:t>
      </w:r>
      <w:r w:rsidR="00715C62" w:rsidRPr="00322A16">
        <w:rPr>
          <w:rFonts w:ascii="Times New Roman" w:hAnsi="Times New Roman" w:cs="Times New Roman" w:hint="eastAsia"/>
          <w:sz w:val="22"/>
        </w:rPr>
        <w:t>(C) Top enriched GO terms of MabHLH30-regulated genes. (D) Top enriched KEGG terms of MabHLH30-regulated genes.</w:t>
      </w:r>
      <w:r w:rsidR="00A862C6" w:rsidRPr="00322A16">
        <w:rPr>
          <w:rFonts w:ascii="Times New Roman" w:hAnsi="Times New Roman" w:cs="Times New Roman"/>
          <w:sz w:val="22"/>
        </w:rPr>
        <w:br w:type="page"/>
      </w:r>
    </w:p>
    <w:p w14:paraId="1C21BB04" w14:textId="21490174" w:rsidR="006970D0" w:rsidRPr="00322A16" w:rsidRDefault="00AE75DD" w:rsidP="00396F71">
      <w:pPr>
        <w:widowControl/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4AF2FE76" wp14:editId="076DFB29">
            <wp:extent cx="2545080" cy="3246120"/>
            <wp:effectExtent l="0" t="0" r="7620" b="0"/>
            <wp:docPr id="115649645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E01C1" w14:textId="77777777" w:rsidR="000854DF" w:rsidRPr="00322A16" w:rsidRDefault="000854DF" w:rsidP="00396F7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 xml:space="preserve">Figure S20. Integration of DAP-seq and RNA-seq identifies direct MabHLH30 targets. </w:t>
      </w:r>
      <w:r w:rsidRPr="00322A16">
        <w:rPr>
          <w:rFonts w:ascii="Times New Roman" w:hAnsi="Times New Roman" w:cs="Times New Roman"/>
          <w:sz w:val="22"/>
        </w:rPr>
        <w:t>Venn diagram illustrating the overlap between MabHLH30-bound genes identified by DAP-seq and DEGs from RNA-seq. The pie chart classifies the direct targets into upregulated and downregulated categories based on RNA-seq results.</w:t>
      </w:r>
    </w:p>
    <w:p w14:paraId="33D219DB" w14:textId="29009999" w:rsidR="00A22CE8" w:rsidRPr="00322A16" w:rsidRDefault="00A22CE8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322A16">
        <w:rPr>
          <w:rFonts w:ascii="Times New Roman" w:hAnsi="Times New Roman" w:cs="Times New Roman"/>
          <w:sz w:val="22"/>
        </w:rPr>
        <w:br w:type="page"/>
      </w:r>
    </w:p>
    <w:p w14:paraId="17114A71" w14:textId="788571ED" w:rsidR="00BA5630" w:rsidRPr="00322A16" w:rsidRDefault="00AE75DD" w:rsidP="00396F71">
      <w:pPr>
        <w:spacing w:line="360" w:lineRule="auto"/>
        <w:rPr>
          <w:rFonts w:ascii="Times New Roman" w:hAnsi="Times New Roman" w:cs="Times New Roman"/>
          <w:sz w:val="22"/>
        </w:rPr>
      </w:pPr>
      <w:r w:rsidRPr="00322A16">
        <w:rPr>
          <w:noProof/>
        </w:rPr>
        <w:lastRenderedPageBreak/>
        <w:drawing>
          <wp:inline distT="0" distB="0" distL="0" distR="0" wp14:anchorId="28D1D37B" wp14:editId="72276199">
            <wp:extent cx="5274310" cy="3428365"/>
            <wp:effectExtent l="0" t="0" r="2540" b="635"/>
            <wp:docPr id="15902598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2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5DEB3" w14:textId="77777777" w:rsidR="000854DF" w:rsidRPr="00322A16" w:rsidRDefault="000854DF" w:rsidP="00396F7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322A16">
        <w:rPr>
          <w:rFonts w:ascii="Times New Roman" w:hAnsi="Times New Roman" w:cs="Times New Roman"/>
          <w:b/>
          <w:bCs/>
          <w:sz w:val="22"/>
        </w:rPr>
        <w:t>Figure S21. Regulatory effects of MabHLH30 on hormone-related target genes.</w:t>
      </w:r>
    </w:p>
    <w:p w14:paraId="4C5D556A" w14:textId="77777777" w:rsidR="000854DF" w:rsidRPr="00322A16" w:rsidRDefault="000854DF" w:rsidP="00396F71">
      <w:pPr>
        <w:spacing w:line="360" w:lineRule="auto"/>
        <w:rPr>
          <w:rFonts w:ascii="Times New Roman" w:hAnsi="Times New Roman" w:cs="Times New Roman"/>
          <w:i/>
          <w:iCs/>
          <w:sz w:val="22"/>
        </w:rPr>
      </w:pPr>
      <w:r w:rsidRPr="00322A16">
        <w:rPr>
          <w:rFonts w:ascii="Times New Roman" w:hAnsi="Times New Roman" w:cs="Times New Roman"/>
          <w:sz w:val="22"/>
        </w:rPr>
        <w:t>(A) Heatmap expression changes in hormone pathway genes. (B</w:t>
      </w:r>
      <w:r w:rsidRPr="00322A16">
        <w:rPr>
          <w:rFonts w:ascii="Times New Roman" w:hAnsi="Times New Roman" w:cs="Times New Roman"/>
          <w:bCs/>
          <w:sz w:val="22"/>
        </w:rPr>
        <w:t>–</w:t>
      </w:r>
      <w:r w:rsidRPr="00322A16">
        <w:rPr>
          <w:rFonts w:ascii="Times New Roman" w:hAnsi="Times New Roman" w:cs="Times New Roman"/>
          <w:sz w:val="22"/>
        </w:rPr>
        <w:t xml:space="preserve">H) DAP-seq signal tracks showing MabHLH30 binding at target loci, including </w:t>
      </w:r>
      <w:r w:rsidRPr="00322A16">
        <w:rPr>
          <w:rFonts w:ascii="Times New Roman" w:hAnsi="Times New Roman" w:cs="Times New Roman"/>
          <w:i/>
          <w:iCs/>
          <w:sz w:val="22"/>
        </w:rPr>
        <w:t>MaIAA27</w:t>
      </w:r>
      <w:r w:rsidRPr="00322A16">
        <w:rPr>
          <w:rFonts w:ascii="Times New Roman" w:hAnsi="Times New Roman" w:cs="Times New Roman"/>
          <w:sz w:val="22"/>
        </w:rPr>
        <w:t xml:space="preserve">, </w:t>
      </w:r>
      <w:r w:rsidRPr="00322A16">
        <w:rPr>
          <w:rFonts w:ascii="Times New Roman" w:hAnsi="Times New Roman" w:cs="Times New Roman"/>
          <w:i/>
          <w:iCs/>
          <w:sz w:val="22"/>
        </w:rPr>
        <w:t>MaIAA4, MaIAA23</w:t>
      </w:r>
      <w:r w:rsidRPr="00322A16">
        <w:rPr>
          <w:rFonts w:ascii="Times New Roman" w:hAnsi="Times New Roman" w:cs="Times New Roman"/>
          <w:sz w:val="22"/>
        </w:rPr>
        <w:t xml:space="preserve">, </w:t>
      </w:r>
      <w:r w:rsidRPr="00322A16">
        <w:rPr>
          <w:rFonts w:ascii="Times New Roman" w:hAnsi="Times New Roman" w:cs="Times New Roman"/>
          <w:i/>
          <w:iCs/>
          <w:sz w:val="22"/>
        </w:rPr>
        <w:t>MaSAUR71</w:t>
      </w:r>
      <w:r w:rsidRPr="00322A16">
        <w:rPr>
          <w:rFonts w:ascii="Times New Roman" w:hAnsi="Times New Roman" w:cs="Times New Roman"/>
          <w:sz w:val="22"/>
        </w:rPr>
        <w:t xml:space="preserve">, </w:t>
      </w:r>
      <w:r w:rsidRPr="00322A16">
        <w:rPr>
          <w:rFonts w:ascii="Times New Roman" w:hAnsi="Times New Roman" w:cs="Times New Roman"/>
          <w:i/>
          <w:iCs/>
          <w:sz w:val="22"/>
        </w:rPr>
        <w:t>MaGH3.10</w:t>
      </w:r>
      <w:r w:rsidRPr="00322A16">
        <w:rPr>
          <w:rFonts w:ascii="Times New Roman" w:hAnsi="Times New Roman" w:cs="Times New Roman"/>
          <w:sz w:val="22"/>
        </w:rPr>
        <w:t xml:space="preserve">, </w:t>
      </w:r>
      <w:r w:rsidRPr="00322A16">
        <w:rPr>
          <w:rFonts w:ascii="Times New Roman" w:hAnsi="Times New Roman" w:cs="Times New Roman"/>
          <w:i/>
          <w:iCs/>
          <w:sz w:val="22"/>
        </w:rPr>
        <w:t>MaCYP707A2</w:t>
      </w:r>
      <w:r w:rsidRPr="00322A16">
        <w:rPr>
          <w:rFonts w:ascii="Times New Roman" w:hAnsi="Times New Roman" w:cs="Times New Roman"/>
          <w:sz w:val="22"/>
        </w:rPr>
        <w:t xml:space="preserve">, and </w:t>
      </w:r>
      <w:r w:rsidRPr="00322A16">
        <w:rPr>
          <w:rFonts w:ascii="Times New Roman" w:hAnsi="Times New Roman" w:cs="Times New Roman"/>
          <w:i/>
          <w:iCs/>
          <w:sz w:val="22"/>
        </w:rPr>
        <w:t>MaNCED1</w:t>
      </w:r>
      <w:r w:rsidRPr="00322A16">
        <w:rPr>
          <w:rFonts w:ascii="Times New Roman" w:hAnsi="Times New Roman" w:cs="Times New Roman"/>
          <w:sz w:val="22"/>
        </w:rPr>
        <w:t xml:space="preserve">. </w:t>
      </w:r>
    </w:p>
    <w:p w14:paraId="5F9F53A6" w14:textId="560E39C3" w:rsidR="00A22CE8" w:rsidRPr="00322A16" w:rsidRDefault="00A22CE8" w:rsidP="00396F71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</w:p>
    <w:sectPr w:rsidR="00A22CE8" w:rsidRPr="00322A16" w:rsidSect="006970D0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77780" w14:textId="77777777" w:rsidR="00DF061D" w:rsidRDefault="00DF061D" w:rsidP="006970D0">
      <w:pPr>
        <w:rPr>
          <w:rFonts w:hint="eastAsia"/>
        </w:rPr>
      </w:pPr>
      <w:r>
        <w:separator/>
      </w:r>
    </w:p>
  </w:endnote>
  <w:endnote w:type="continuationSeparator" w:id="0">
    <w:p w14:paraId="5544FF86" w14:textId="77777777" w:rsidR="00DF061D" w:rsidRDefault="00DF061D" w:rsidP="006970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1CF92" w14:textId="77777777" w:rsidR="00DF061D" w:rsidRDefault="00DF061D" w:rsidP="006970D0">
      <w:pPr>
        <w:rPr>
          <w:rFonts w:hint="eastAsia"/>
        </w:rPr>
      </w:pPr>
      <w:r>
        <w:separator/>
      </w:r>
    </w:p>
  </w:footnote>
  <w:footnote w:type="continuationSeparator" w:id="0">
    <w:p w14:paraId="06462C30" w14:textId="77777777" w:rsidR="00DF061D" w:rsidRDefault="00DF061D" w:rsidP="006970D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2969"/>
    <w:multiLevelType w:val="hybridMultilevel"/>
    <w:tmpl w:val="CA7EEF38"/>
    <w:lvl w:ilvl="0" w:tplc="E95AC4E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3613CC1"/>
    <w:multiLevelType w:val="hybridMultilevel"/>
    <w:tmpl w:val="93EC4196"/>
    <w:lvl w:ilvl="0" w:tplc="E95AC4E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88B5B63"/>
    <w:multiLevelType w:val="hybridMultilevel"/>
    <w:tmpl w:val="6826F382"/>
    <w:lvl w:ilvl="0" w:tplc="E95AC4E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8D210E8"/>
    <w:multiLevelType w:val="hybridMultilevel"/>
    <w:tmpl w:val="9A808A1E"/>
    <w:lvl w:ilvl="0" w:tplc="E95AC4E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80258BF"/>
    <w:multiLevelType w:val="hybridMultilevel"/>
    <w:tmpl w:val="2E8621AC"/>
    <w:lvl w:ilvl="0" w:tplc="548CE0BC">
      <w:start w:val="1"/>
      <w:numFmt w:val="upperLetter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9F45187"/>
    <w:multiLevelType w:val="hybridMultilevel"/>
    <w:tmpl w:val="F45E6E60"/>
    <w:lvl w:ilvl="0" w:tplc="FCE80A56">
      <w:start w:val="1"/>
      <w:numFmt w:val="upperLetter"/>
      <w:lvlText w:val="(%1)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53977752">
    <w:abstractNumId w:val="4"/>
  </w:num>
  <w:num w:numId="2" w16cid:durableId="819924024">
    <w:abstractNumId w:val="3"/>
  </w:num>
  <w:num w:numId="3" w16cid:durableId="630138049">
    <w:abstractNumId w:val="0"/>
  </w:num>
  <w:num w:numId="4" w16cid:durableId="645013722">
    <w:abstractNumId w:val="2"/>
  </w:num>
  <w:num w:numId="5" w16cid:durableId="126970924">
    <w:abstractNumId w:val="1"/>
  </w:num>
  <w:num w:numId="6" w16cid:durableId="12616400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268"/>
    <w:rsid w:val="00006967"/>
    <w:rsid w:val="00006A8C"/>
    <w:rsid w:val="00007671"/>
    <w:rsid w:val="00026370"/>
    <w:rsid w:val="000319BC"/>
    <w:rsid w:val="00033DF8"/>
    <w:rsid w:val="00034FF3"/>
    <w:rsid w:val="0003706D"/>
    <w:rsid w:val="00062036"/>
    <w:rsid w:val="00062D6F"/>
    <w:rsid w:val="00076CC6"/>
    <w:rsid w:val="00084213"/>
    <w:rsid w:val="000854DF"/>
    <w:rsid w:val="000919C9"/>
    <w:rsid w:val="000C5E62"/>
    <w:rsid w:val="000D47CE"/>
    <w:rsid w:val="000E7EB8"/>
    <w:rsid w:val="000F6D57"/>
    <w:rsid w:val="0011002D"/>
    <w:rsid w:val="00113885"/>
    <w:rsid w:val="00114370"/>
    <w:rsid w:val="00115321"/>
    <w:rsid w:val="0011593E"/>
    <w:rsid w:val="001313F8"/>
    <w:rsid w:val="00135DB7"/>
    <w:rsid w:val="00144AE6"/>
    <w:rsid w:val="00150992"/>
    <w:rsid w:val="001534A9"/>
    <w:rsid w:val="00153A28"/>
    <w:rsid w:val="00172D51"/>
    <w:rsid w:val="00175F9F"/>
    <w:rsid w:val="001967C5"/>
    <w:rsid w:val="00196EA0"/>
    <w:rsid w:val="001A5A2A"/>
    <w:rsid w:val="001B13DA"/>
    <w:rsid w:val="001B5625"/>
    <w:rsid w:val="001C1B2C"/>
    <w:rsid w:val="001D5F3A"/>
    <w:rsid w:val="001E5517"/>
    <w:rsid w:val="001E64A0"/>
    <w:rsid w:val="0020169E"/>
    <w:rsid w:val="002220FB"/>
    <w:rsid w:val="00245CD2"/>
    <w:rsid w:val="00283AE4"/>
    <w:rsid w:val="002A1307"/>
    <w:rsid w:val="002D007C"/>
    <w:rsid w:val="002D70F7"/>
    <w:rsid w:val="002F02D4"/>
    <w:rsid w:val="0031413C"/>
    <w:rsid w:val="00321383"/>
    <w:rsid w:val="00322A16"/>
    <w:rsid w:val="00363268"/>
    <w:rsid w:val="003946E0"/>
    <w:rsid w:val="00396F71"/>
    <w:rsid w:val="003B2864"/>
    <w:rsid w:val="003C1CCA"/>
    <w:rsid w:val="003D2E9A"/>
    <w:rsid w:val="003D4973"/>
    <w:rsid w:val="003D7733"/>
    <w:rsid w:val="003E0C05"/>
    <w:rsid w:val="004006D5"/>
    <w:rsid w:val="00411364"/>
    <w:rsid w:val="00413538"/>
    <w:rsid w:val="00413CFF"/>
    <w:rsid w:val="0042129F"/>
    <w:rsid w:val="00425D9E"/>
    <w:rsid w:val="00432A69"/>
    <w:rsid w:val="004423EA"/>
    <w:rsid w:val="00472AE7"/>
    <w:rsid w:val="00475F1F"/>
    <w:rsid w:val="0048132D"/>
    <w:rsid w:val="00484919"/>
    <w:rsid w:val="00493317"/>
    <w:rsid w:val="004A02EC"/>
    <w:rsid w:val="004B25B3"/>
    <w:rsid w:val="004B36DD"/>
    <w:rsid w:val="004E02D1"/>
    <w:rsid w:val="004F6A2F"/>
    <w:rsid w:val="00515A7D"/>
    <w:rsid w:val="00561A51"/>
    <w:rsid w:val="005978AA"/>
    <w:rsid w:val="005A41A7"/>
    <w:rsid w:val="005A46B1"/>
    <w:rsid w:val="005A6500"/>
    <w:rsid w:val="005A66A6"/>
    <w:rsid w:val="005A6A73"/>
    <w:rsid w:val="005B6F0D"/>
    <w:rsid w:val="005D6C58"/>
    <w:rsid w:val="005D6E8A"/>
    <w:rsid w:val="005E03B1"/>
    <w:rsid w:val="005F3BF7"/>
    <w:rsid w:val="00605155"/>
    <w:rsid w:val="00610C70"/>
    <w:rsid w:val="006110A5"/>
    <w:rsid w:val="006150F7"/>
    <w:rsid w:val="00616611"/>
    <w:rsid w:val="00624758"/>
    <w:rsid w:val="00636523"/>
    <w:rsid w:val="00650EA7"/>
    <w:rsid w:val="00676076"/>
    <w:rsid w:val="00681D45"/>
    <w:rsid w:val="00685FFF"/>
    <w:rsid w:val="00690D20"/>
    <w:rsid w:val="0069511F"/>
    <w:rsid w:val="006970AD"/>
    <w:rsid w:val="006970D0"/>
    <w:rsid w:val="00697F80"/>
    <w:rsid w:val="006A57F8"/>
    <w:rsid w:val="006B003C"/>
    <w:rsid w:val="006B02B7"/>
    <w:rsid w:val="006B1442"/>
    <w:rsid w:val="006B56F2"/>
    <w:rsid w:val="006D04AA"/>
    <w:rsid w:val="006D522F"/>
    <w:rsid w:val="006E1081"/>
    <w:rsid w:val="006E5B09"/>
    <w:rsid w:val="006F7FB9"/>
    <w:rsid w:val="007058C2"/>
    <w:rsid w:val="00707821"/>
    <w:rsid w:val="00713053"/>
    <w:rsid w:val="00715C62"/>
    <w:rsid w:val="00716806"/>
    <w:rsid w:val="00723441"/>
    <w:rsid w:val="00725E87"/>
    <w:rsid w:val="00786F35"/>
    <w:rsid w:val="0079168D"/>
    <w:rsid w:val="00793187"/>
    <w:rsid w:val="007955B3"/>
    <w:rsid w:val="007978CA"/>
    <w:rsid w:val="007A1C5A"/>
    <w:rsid w:val="007A5BE9"/>
    <w:rsid w:val="007F1EFA"/>
    <w:rsid w:val="00822D05"/>
    <w:rsid w:val="0083468D"/>
    <w:rsid w:val="00841573"/>
    <w:rsid w:val="008716CA"/>
    <w:rsid w:val="008742C3"/>
    <w:rsid w:val="00893013"/>
    <w:rsid w:val="0089342B"/>
    <w:rsid w:val="008A1305"/>
    <w:rsid w:val="008C5442"/>
    <w:rsid w:val="008D3ACC"/>
    <w:rsid w:val="008D4F3D"/>
    <w:rsid w:val="008F25A4"/>
    <w:rsid w:val="00902055"/>
    <w:rsid w:val="009168C3"/>
    <w:rsid w:val="00916C1C"/>
    <w:rsid w:val="009216C4"/>
    <w:rsid w:val="00924330"/>
    <w:rsid w:val="009248E5"/>
    <w:rsid w:val="00931005"/>
    <w:rsid w:val="0094383D"/>
    <w:rsid w:val="00960F19"/>
    <w:rsid w:val="0096264C"/>
    <w:rsid w:val="00965044"/>
    <w:rsid w:val="009662B3"/>
    <w:rsid w:val="00986899"/>
    <w:rsid w:val="00995CFF"/>
    <w:rsid w:val="00997D7D"/>
    <w:rsid w:val="00997E54"/>
    <w:rsid w:val="009A61B1"/>
    <w:rsid w:val="009D1202"/>
    <w:rsid w:val="009D763C"/>
    <w:rsid w:val="009E5F09"/>
    <w:rsid w:val="009F0694"/>
    <w:rsid w:val="00A02A5D"/>
    <w:rsid w:val="00A06A16"/>
    <w:rsid w:val="00A12E75"/>
    <w:rsid w:val="00A22CE8"/>
    <w:rsid w:val="00A2533E"/>
    <w:rsid w:val="00A3011B"/>
    <w:rsid w:val="00A34BE0"/>
    <w:rsid w:val="00A72C41"/>
    <w:rsid w:val="00A862C6"/>
    <w:rsid w:val="00A8653E"/>
    <w:rsid w:val="00AA43E7"/>
    <w:rsid w:val="00AB229E"/>
    <w:rsid w:val="00AD1745"/>
    <w:rsid w:val="00AD27CF"/>
    <w:rsid w:val="00AE75DD"/>
    <w:rsid w:val="00AE7D82"/>
    <w:rsid w:val="00AF0D74"/>
    <w:rsid w:val="00AF3F5F"/>
    <w:rsid w:val="00B274DB"/>
    <w:rsid w:val="00B44141"/>
    <w:rsid w:val="00B45648"/>
    <w:rsid w:val="00B5494F"/>
    <w:rsid w:val="00B9656D"/>
    <w:rsid w:val="00BA5630"/>
    <w:rsid w:val="00BD21A6"/>
    <w:rsid w:val="00BF19ED"/>
    <w:rsid w:val="00BF2BDD"/>
    <w:rsid w:val="00BF65D0"/>
    <w:rsid w:val="00C17C69"/>
    <w:rsid w:val="00C26AA5"/>
    <w:rsid w:val="00C37B7B"/>
    <w:rsid w:val="00C55462"/>
    <w:rsid w:val="00C835CB"/>
    <w:rsid w:val="00CB4053"/>
    <w:rsid w:val="00CB6A75"/>
    <w:rsid w:val="00CE73A9"/>
    <w:rsid w:val="00D02634"/>
    <w:rsid w:val="00D10B77"/>
    <w:rsid w:val="00D15BDF"/>
    <w:rsid w:val="00D246E4"/>
    <w:rsid w:val="00D35ACE"/>
    <w:rsid w:val="00D36E3C"/>
    <w:rsid w:val="00D5022B"/>
    <w:rsid w:val="00D55858"/>
    <w:rsid w:val="00D57708"/>
    <w:rsid w:val="00D57957"/>
    <w:rsid w:val="00DB6AE3"/>
    <w:rsid w:val="00DC1294"/>
    <w:rsid w:val="00DC5926"/>
    <w:rsid w:val="00DC7143"/>
    <w:rsid w:val="00DF061D"/>
    <w:rsid w:val="00DF2459"/>
    <w:rsid w:val="00E14068"/>
    <w:rsid w:val="00E35775"/>
    <w:rsid w:val="00E540CF"/>
    <w:rsid w:val="00E57D5C"/>
    <w:rsid w:val="00E65B91"/>
    <w:rsid w:val="00E77BE9"/>
    <w:rsid w:val="00EA3805"/>
    <w:rsid w:val="00ED108D"/>
    <w:rsid w:val="00EE1543"/>
    <w:rsid w:val="00EF077F"/>
    <w:rsid w:val="00EF162A"/>
    <w:rsid w:val="00EF2F9D"/>
    <w:rsid w:val="00F21BBD"/>
    <w:rsid w:val="00F22C54"/>
    <w:rsid w:val="00F27134"/>
    <w:rsid w:val="00F31A3B"/>
    <w:rsid w:val="00F62E54"/>
    <w:rsid w:val="00F76AEA"/>
    <w:rsid w:val="00F9253F"/>
    <w:rsid w:val="00FA0782"/>
    <w:rsid w:val="00FC375F"/>
    <w:rsid w:val="00FD5F4E"/>
    <w:rsid w:val="00FE2C96"/>
    <w:rsid w:val="00FF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839475"/>
  <w14:defaultImageDpi w14:val="330"/>
  <w15:chartTrackingRefBased/>
  <w15:docId w15:val="{16BFEBDF-BE19-46B6-BB77-1B060C9D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0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70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70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70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70D0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6970D0"/>
  </w:style>
  <w:style w:type="paragraph" w:styleId="a8">
    <w:name w:val="List Paragraph"/>
    <w:basedOn w:val="a"/>
    <w:uiPriority w:val="34"/>
    <w:qFormat/>
    <w:rsid w:val="006B56F2"/>
    <w:pPr>
      <w:ind w:firstLineChars="200" w:firstLine="420"/>
    </w:pPr>
  </w:style>
  <w:style w:type="paragraph" w:styleId="a9">
    <w:name w:val="Revision"/>
    <w:hidden/>
    <w:uiPriority w:val="99"/>
    <w:semiHidden/>
    <w:rsid w:val="00A12E75"/>
  </w:style>
  <w:style w:type="character" w:styleId="aa">
    <w:name w:val="annotation reference"/>
    <w:basedOn w:val="a0"/>
    <w:uiPriority w:val="99"/>
    <w:semiHidden/>
    <w:unhideWhenUsed/>
    <w:rsid w:val="00BF65D0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BF65D0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BF65D0"/>
  </w:style>
  <w:style w:type="paragraph" w:styleId="ad">
    <w:name w:val="annotation subject"/>
    <w:basedOn w:val="ab"/>
    <w:next w:val="ab"/>
    <w:link w:val="ae"/>
    <w:uiPriority w:val="99"/>
    <w:semiHidden/>
    <w:unhideWhenUsed/>
    <w:rsid w:val="00BF65D0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BF65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6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872</Words>
  <Characters>5227</Characters>
  <Application>Microsoft Office Word</Application>
  <DocSecurity>0</DocSecurity>
  <Lines>124</Lines>
  <Paragraphs>44</Paragraphs>
  <ScaleCrop>false</ScaleCrop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玉琪 李</dc:creator>
  <cp:keywords/>
  <dc:description/>
  <cp:lastModifiedBy>玉琪 李</cp:lastModifiedBy>
  <cp:revision>4</cp:revision>
  <cp:lastPrinted>2024-11-04T12:17:00Z</cp:lastPrinted>
  <dcterms:created xsi:type="dcterms:W3CDTF">2025-07-02T13:37:00Z</dcterms:created>
  <dcterms:modified xsi:type="dcterms:W3CDTF">2025-07-02T13:40:00Z</dcterms:modified>
</cp:coreProperties>
</file>