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186" w:rsidRPr="00366D1D" w:rsidRDefault="00EA1186" w:rsidP="00EA1186">
      <w:pPr>
        <w:spacing w:after="180" w:line="340" w:lineRule="exact"/>
        <w:jc w:val="center"/>
        <w:outlineLvl w:val="0"/>
        <w:rPr>
          <w:b/>
          <w:sz w:val="28"/>
        </w:rPr>
      </w:pPr>
      <w:r w:rsidRPr="00366D1D">
        <w:rPr>
          <w:b/>
          <w:sz w:val="28"/>
        </w:rPr>
        <w:t xml:space="preserve">Asteraceae </w:t>
      </w:r>
      <w:r>
        <w:rPr>
          <w:b/>
          <w:sz w:val="28"/>
        </w:rPr>
        <w:t>phylotranscriptomics provides insights into increases in diversification rate, polyploidizations and morphological innovations</w:t>
      </w:r>
      <w:r w:rsidRPr="00366D1D">
        <w:rPr>
          <w:b/>
          <w:sz w:val="28"/>
        </w:rPr>
        <w:t xml:space="preserve"> </w:t>
      </w:r>
      <w:r>
        <w:rPr>
          <w:b/>
          <w:sz w:val="28"/>
        </w:rPr>
        <w:t xml:space="preserve">with implication for contribution </w:t>
      </w:r>
      <w:r w:rsidRPr="00366D1D">
        <w:rPr>
          <w:b/>
          <w:sz w:val="28"/>
        </w:rPr>
        <w:t xml:space="preserve">to </w:t>
      </w:r>
      <w:r>
        <w:rPr>
          <w:b/>
          <w:sz w:val="28"/>
        </w:rPr>
        <w:t xml:space="preserve">extraordinary </w:t>
      </w:r>
      <w:r w:rsidRPr="00366D1D">
        <w:rPr>
          <w:b/>
          <w:sz w:val="28"/>
        </w:rPr>
        <w:t>biodiversity</w:t>
      </w:r>
    </w:p>
    <w:p w:rsidR="00EA1186" w:rsidRPr="00266486" w:rsidRDefault="00EA1186" w:rsidP="00EA1186">
      <w:pPr>
        <w:spacing w:after="180" w:line="340" w:lineRule="exact"/>
        <w:jc w:val="both"/>
      </w:pPr>
    </w:p>
    <w:p w:rsidR="00EA1186" w:rsidRPr="00D34E8E" w:rsidRDefault="00EA1186" w:rsidP="00EA1186">
      <w:pPr>
        <w:spacing w:after="180" w:line="340" w:lineRule="exact"/>
        <w:jc w:val="both"/>
      </w:pPr>
      <w:r w:rsidRPr="00D34E8E">
        <w:t>Caifei Zhang</w:t>
      </w:r>
      <w:r>
        <w:rPr>
          <w:vertAlign w:val="superscript"/>
        </w:rPr>
        <w:t>1</w:t>
      </w:r>
      <w:r w:rsidRPr="008112D8">
        <w:rPr>
          <w:rFonts w:hint="eastAsia"/>
          <w:vertAlign w:val="superscript"/>
        </w:rPr>
        <w:t>†</w:t>
      </w:r>
      <w:r w:rsidRPr="00D34E8E">
        <w:t>, Chien-Hsun Huang</w:t>
      </w:r>
      <w:r w:rsidRPr="00D34E8E">
        <w:rPr>
          <w:vertAlign w:val="superscript"/>
        </w:rPr>
        <w:t>1,2</w:t>
      </w:r>
      <w:r w:rsidRPr="008112D8">
        <w:rPr>
          <w:rFonts w:hint="eastAsia"/>
          <w:vertAlign w:val="superscript"/>
        </w:rPr>
        <w:t>†</w:t>
      </w:r>
      <w:r w:rsidRPr="00D34E8E">
        <w:t>, Mian Liu</w:t>
      </w:r>
      <w:r w:rsidRPr="00D34E8E">
        <w:rPr>
          <w:vertAlign w:val="superscript"/>
        </w:rPr>
        <w:t>1</w:t>
      </w:r>
      <w:r w:rsidRPr="00D34E8E">
        <w:t>, Yi Hu</w:t>
      </w:r>
      <w:r w:rsidRPr="00D34E8E">
        <w:rPr>
          <w:vertAlign w:val="superscript"/>
        </w:rPr>
        <w:t>2</w:t>
      </w:r>
      <w:r w:rsidRPr="00D34E8E">
        <w:t>, Jose L. Panero</w:t>
      </w:r>
      <w:r w:rsidRPr="00D34E8E">
        <w:rPr>
          <w:vertAlign w:val="superscript"/>
        </w:rPr>
        <w:t>3</w:t>
      </w:r>
      <w:r w:rsidRPr="00D34E8E">
        <w:t>, Federico Luebert</w:t>
      </w:r>
      <w:r w:rsidRPr="00D34E8E">
        <w:rPr>
          <w:vertAlign w:val="superscript"/>
        </w:rPr>
        <w:t>4,5</w:t>
      </w:r>
      <w:r w:rsidRPr="00D34E8E">
        <w:t>, Tiangang Gao</w:t>
      </w:r>
      <w:r w:rsidRPr="00D34E8E">
        <w:rPr>
          <w:vertAlign w:val="superscript"/>
        </w:rPr>
        <w:t>6</w:t>
      </w:r>
      <w:r w:rsidRPr="00D34E8E">
        <w:t>, and Hong Ma</w:t>
      </w:r>
      <w:r w:rsidRPr="00D34E8E">
        <w:rPr>
          <w:vertAlign w:val="superscript"/>
        </w:rPr>
        <w:t>2*</w:t>
      </w:r>
    </w:p>
    <w:p w:rsidR="00EA1186" w:rsidRPr="00266486" w:rsidRDefault="00EA1186" w:rsidP="00EA1186">
      <w:pPr>
        <w:spacing w:after="180" w:line="340" w:lineRule="exact"/>
        <w:jc w:val="both"/>
      </w:pPr>
    </w:p>
    <w:p w:rsidR="00EA1186" w:rsidRPr="00266486" w:rsidRDefault="00EA1186" w:rsidP="00EA1186">
      <w:pPr>
        <w:spacing w:after="180" w:line="340" w:lineRule="exact"/>
        <w:jc w:val="both"/>
        <w:rPr>
          <w:color w:val="000000" w:themeColor="text1"/>
        </w:rPr>
      </w:pPr>
      <w:r>
        <w:rPr>
          <w:rFonts w:hint="eastAsia"/>
          <w:color w:val="000000" w:themeColor="text1"/>
        </w:rPr>
        <w:t>(</w:t>
      </w:r>
      <w:r w:rsidRPr="00576E2C">
        <w:rPr>
          <w:rFonts w:hint="eastAsia"/>
          <w:color w:val="000000" w:themeColor="text1"/>
        </w:rPr>
        <w:t>†</w:t>
      </w:r>
      <w:r w:rsidRPr="00266486">
        <w:rPr>
          <w:color w:val="000000" w:themeColor="text1"/>
        </w:rPr>
        <w:t>These authors contributed equally to this work)</w:t>
      </w:r>
    </w:p>
    <w:p w:rsidR="00EA1186" w:rsidRPr="00266486" w:rsidRDefault="00EA1186" w:rsidP="00EA1186">
      <w:pPr>
        <w:spacing w:after="180" w:line="340" w:lineRule="exact"/>
        <w:jc w:val="both"/>
        <w:rPr>
          <w:b/>
          <w:color w:val="000000" w:themeColor="text1"/>
        </w:rPr>
      </w:pPr>
    </w:p>
    <w:p w:rsidR="00EA1186" w:rsidRPr="00266486" w:rsidRDefault="00EA1186" w:rsidP="00EA1186">
      <w:pPr>
        <w:spacing w:after="180" w:line="340" w:lineRule="exact"/>
        <w:jc w:val="both"/>
        <w:rPr>
          <w:b/>
          <w:color w:val="000000" w:themeColor="text1"/>
        </w:rPr>
      </w:pPr>
      <w:r w:rsidRPr="00266486">
        <w:rPr>
          <w:b/>
          <w:color w:val="000000" w:themeColor="text1"/>
        </w:rPr>
        <w:t>Supplemental Information</w:t>
      </w:r>
    </w:p>
    <w:p w:rsidR="00EA1186" w:rsidRPr="00266486" w:rsidRDefault="00EA1186" w:rsidP="00EA1186">
      <w:pPr>
        <w:spacing w:after="180" w:line="340" w:lineRule="exact"/>
        <w:jc w:val="both"/>
        <w:rPr>
          <w:b/>
          <w:color w:val="000000" w:themeColor="text1"/>
        </w:rPr>
      </w:pPr>
      <w:r w:rsidRPr="00266486">
        <w:rPr>
          <w:b/>
          <w:color w:val="000000" w:themeColor="text1"/>
        </w:rPr>
        <w:t>1. New Asteraceae transcriptome/genome datasets for nuclear gene identification</w:t>
      </w:r>
    </w:p>
    <w:p w:rsidR="00EA1186" w:rsidRPr="00266486" w:rsidRDefault="00EA1186" w:rsidP="00EA1186">
      <w:pPr>
        <w:spacing w:after="180" w:line="340" w:lineRule="exact"/>
        <w:jc w:val="both"/>
        <w:rPr>
          <w:rFonts w:eastAsia="Times New Roman"/>
        </w:rPr>
      </w:pPr>
      <w:r w:rsidRPr="00266486">
        <w:rPr>
          <w:b/>
          <w:color w:val="000000" w:themeColor="text1"/>
        </w:rPr>
        <w:t>2. Selection of 1087 low-copy nuclear genes from three data sets</w:t>
      </w:r>
    </w:p>
    <w:p w:rsidR="00EA1186" w:rsidRPr="00266486" w:rsidRDefault="00EA1186" w:rsidP="00EA1186">
      <w:pPr>
        <w:spacing w:after="180" w:line="340" w:lineRule="exact"/>
        <w:jc w:val="both"/>
        <w:rPr>
          <w:b/>
          <w:color w:val="000000" w:themeColor="text1"/>
        </w:rPr>
      </w:pPr>
      <w:r w:rsidRPr="00266486">
        <w:rPr>
          <w:rFonts w:eastAsia="PMingLiU"/>
          <w:b/>
          <w:color w:val="000000" w:themeColor="text1"/>
          <w:lang w:eastAsia="zh-TW"/>
        </w:rPr>
        <w:t xml:space="preserve">3. </w:t>
      </w:r>
      <w:r w:rsidRPr="00266486">
        <w:rPr>
          <w:b/>
          <w:color w:val="000000" w:themeColor="text1"/>
        </w:rPr>
        <w:t>Factors contributing to stability in divergence time estimates</w:t>
      </w:r>
    </w:p>
    <w:p w:rsidR="00EA1186" w:rsidRPr="00266486" w:rsidRDefault="00EA1186" w:rsidP="00EA1186">
      <w:pPr>
        <w:spacing w:after="180" w:line="340" w:lineRule="exact"/>
        <w:jc w:val="both"/>
        <w:rPr>
          <w:rFonts w:eastAsia="PMingLiU"/>
          <w:b/>
          <w:color w:val="000000"/>
          <w:lang w:eastAsia="zh-TW"/>
        </w:rPr>
      </w:pPr>
      <w:r>
        <w:rPr>
          <w:rFonts w:eastAsia="PMingLiU"/>
          <w:b/>
          <w:color w:val="000000"/>
          <w:lang w:eastAsia="zh-TW"/>
        </w:rPr>
        <w:t>4</w:t>
      </w:r>
      <w:r w:rsidRPr="00266486">
        <w:rPr>
          <w:rFonts w:eastAsia="PMingLiU"/>
          <w:b/>
          <w:color w:val="000000"/>
          <w:lang w:eastAsia="zh-TW"/>
        </w:rPr>
        <w:t>. Diversification rate shifts</w:t>
      </w:r>
    </w:p>
    <w:p w:rsidR="00EA1186" w:rsidRPr="00266486" w:rsidRDefault="00EA1186" w:rsidP="00EA1186">
      <w:pPr>
        <w:spacing w:after="180" w:line="340" w:lineRule="exact"/>
        <w:jc w:val="both"/>
        <w:outlineLvl w:val="0"/>
        <w:rPr>
          <w:b/>
          <w:color w:val="000000" w:themeColor="text1"/>
          <w:lang w:eastAsia="zh-TW"/>
        </w:rPr>
      </w:pPr>
      <w:r>
        <w:rPr>
          <w:b/>
          <w:color w:val="000000" w:themeColor="text1"/>
        </w:rPr>
        <w:t>5</w:t>
      </w:r>
      <w:r w:rsidRPr="00266486">
        <w:rPr>
          <w:b/>
          <w:color w:val="000000" w:themeColor="text1"/>
        </w:rPr>
        <w:t>. Detection of multiple WGD events</w:t>
      </w:r>
    </w:p>
    <w:p w:rsidR="00EA1186" w:rsidRPr="00266486" w:rsidRDefault="00EA1186" w:rsidP="00EA1186">
      <w:pPr>
        <w:spacing w:after="180" w:line="340" w:lineRule="exact"/>
        <w:jc w:val="both"/>
        <w:outlineLvl w:val="0"/>
        <w:rPr>
          <w:b/>
          <w:color w:val="000000" w:themeColor="text1"/>
        </w:rPr>
      </w:pPr>
      <w:r>
        <w:rPr>
          <w:b/>
          <w:color w:val="000000" w:themeColor="text1"/>
        </w:rPr>
        <w:t>6</w:t>
      </w:r>
      <w:r w:rsidRPr="00266486">
        <w:rPr>
          <w:b/>
          <w:color w:val="000000" w:themeColor="text1"/>
        </w:rPr>
        <w:t>. Materials and Methods</w:t>
      </w:r>
      <w:r>
        <w:rPr>
          <w:b/>
          <w:color w:val="000000" w:themeColor="text1"/>
        </w:rPr>
        <w:t xml:space="preserve"> (Details)</w:t>
      </w:r>
    </w:p>
    <w:p w:rsidR="00EA1186" w:rsidRPr="00266486" w:rsidRDefault="00EA1186" w:rsidP="00EA1186">
      <w:pPr>
        <w:spacing w:after="180" w:line="340" w:lineRule="exact"/>
        <w:jc w:val="both"/>
        <w:rPr>
          <w:b/>
          <w:color w:val="000000" w:themeColor="text1"/>
        </w:rPr>
      </w:pPr>
    </w:p>
    <w:p w:rsidR="00EA1186" w:rsidRPr="00266486" w:rsidRDefault="00EA1186" w:rsidP="00EA1186">
      <w:pPr>
        <w:spacing w:after="180" w:line="340" w:lineRule="exact"/>
        <w:jc w:val="both"/>
        <w:rPr>
          <w:b/>
          <w:color w:val="000000" w:themeColor="text1"/>
        </w:rPr>
      </w:pPr>
      <w:r w:rsidRPr="00266486">
        <w:rPr>
          <w:b/>
          <w:color w:val="000000" w:themeColor="text1"/>
        </w:rPr>
        <w:t>1. New Asteraceae transcriptome/genome datasets for nuclear gene identification</w:t>
      </w:r>
    </w:p>
    <w:p w:rsidR="00EA1186" w:rsidRPr="00266486" w:rsidRDefault="00EA1186" w:rsidP="00EA1186">
      <w:pPr>
        <w:spacing w:after="180" w:line="340" w:lineRule="exact"/>
        <w:jc w:val="both"/>
        <w:rPr>
          <w:b/>
          <w:color w:val="000000" w:themeColor="text1"/>
        </w:rPr>
      </w:pPr>
      <w:r w:rsidRPr="00266486">
        <w:rPr>
          <w:rFonts w:eastAsia="Times New Roman"/>
        </w:rPr>
        <w:t>To obtain nuclear gene sequence</w:t>
      </w:r>
      <w:r>
        <w:rPr>
          <w:rFonts w:eastAsia="Times New Roman"/>
        </w:rPr>
        <w:t>s</w:t>
      </w:r>
      <w:r w:rsidRPr="00266486">
        <w:rPr>
          <w:rFonts w:eastAsia="Times New Roman"/>
        </w:rPr>
        <w:t xml:space="preserve"> for a comprehensive phylogeny of Asteraceae at the trib</w:t>
      </w:r>
      <w:r>
        <w:rPr>
          <w:rFonts w:hint="eastAsia"/>
        </w:rPr>
        <w:t>al</w:t>
      </w:r>
      <w:r w:rsidRPr="00266486">
        <w:rPr>
          <w:rFonts w:eastAsia="Times New Roman"/>
        </w:rPr>
        <w:t xml:space="preserve"> level, we generated </w:t>
      </w:r>
      <w:r>
        <w:rPr>
          <w:rFonts w:eastAsia="Times New Roman"/>
        </w:rPr>
        <w:t xml:space="preserve">122 </w:t>
      </w:r>
      <w:r w:rsidRPr="00266486">
        <w:rPr>
          <w:rFonts w:eastAsia="Times New Roman"/>
        </w:rPr>
        <w:t>new transcriptome datasets for 12</w:t>
      </w:r>
      <w:r>
        <w:rPr>
          <w:rFonts w:eastAsia="Times New Roman"/>
        </w:rPr>
        <w:t>1</w:t>
      </w:r>
      <w:r w:rsidRPr="00266486">
        <w:rPr>
          <w:rFonts w:eastAsia="Times New Roman"/>
        </w:rPr>
        <w:t xml:space="preserve"> species</w:t>
      </w:r>
      <w:r>
        <w:rPr>
          <w:rFonts w:eastAsia="Times New Roman"/>
        </w:rPr>
        <w:t xml:space="preserve"> (</w:t>
      </w:r>
      <w:r w:rsidRPr="00D1284A">
        <w:rPr>
          <w:rFonts w:eastAsia="Times New Roman"/>
          <w:i/>
          <w:iCs/>
        </w:rPr>
        <w:t>Acmella oleracea</w:t>
      </w:r>
      <w:r>
        <w:rPr>
          <w:rFonts w:eastAsia="Times New Roman"/>
        </w:rPr>
        <w:t xml:space="preserve"> was sampled and sequenced twice)</w:t>
      </w:r>
      <w:r w:rsidRPr="00266486">
        <w:rPr>
          <w:rFonts w:eastAsia="Times New Roman"/>
        </w:rPr>
        <w:t xml:space="preserve"> and shotgun genome datasets for another 16 species (Table</w:t>
      </w:r>
      <w:r>
        <w:rPr>
          <w:rFonts w:eastAsia="Times New Roman"/>
        </w:rPr>
        <w:t>s</w:t>
      </w:r>
      <w:r w:rsidRPr="00266486">
        <w:rPr>
          <w:rFonts w:eastAsia="Times New Roman"/>
        </w:rPr>
        <w:t xml:space="preserve"> S1</w:t>
      </w:r>
      <w:r>
        <w:rPr>
          <w:rFonts w:eastAsia="Times New Roman"/>
        </w:rPr>
        <w:t>, S</w:t>
      </w:r>
      <w:r>
        <w:rPr>
          <w:rFonts w:hint="eastAsia"/>
        </w:rPr>
        <w:t>2</w:t>
      </w:r>
      <w:r w:rsidRPr="00266486">
        <w:rPr>
          <w:rFonts w:eastAsia="Times New Roman"/>
        </w:rPr>
        <w:t xml:space="preserve">); these plus 67 previously obtained datasets </w:t>
      </w:r>
      <w:r>
        <w:rPr>
          <w:noProof/>
          <w:color w:val="000000"/>
        </w:rPr>
        <w:t>(Huang et al., 2016b; Liu et al., 2015; Zeng et al., 2014)</w:t>
      </w:r>
      <w:r w:rsidRPr="00266486">
        <w:rPr>
          <w:rFonts w:eastAsia="Times New Roman"/>
        </w:rPr>
        <w:t xml:space="preserve"> and 44 public datasets (Table</w:t>
      </w:r>
      <w:r>
        <w:rPr>
          <w:rFonts w:eastAsia="Times New Roman"/>
        </w:rPr>
        <w:t>s</w:t>
      </w:r>
      <w:r w:rsidRPr="00266486">
        <w:rPr>
          <w:rFonts w:eastAsia="Times New Roman"/>
        </w:rPr>
        <w:t xml:space="preserve"> S1</w:t>
      </w:r>
      <w:r>
        <w:rPr>
          <w:rFonts w:eastAsia="Times New Roman"/>
        </w:rPr>
        <w:t>, S</w:t>
      </w:r>
      <w:r>
        <w:rPr>
          <w:rFonts w:hint="eastAsia"/>
        </w:rPr>
        <w:t>2</w:t>
      </w:r>
      <w:r w:rsidRPr="00266486">
        <w:rPr>
          <w:rFonts w:eastAsia="Times New Roman"/>
        </w:rPr>
        <w:t>) resulted in large datasets for a total of 24</w:t>
      </w:r>
      <w:r>
        <w:rPr>
          <w:rFonts w:eastAsia="Times New Roman"/>
        </w:rPr>
        <w:t>8</w:t>
      </w:r>
      <w:r w:rsidRPr="00266486">
        <w:rPr>
          <w:rFonts w:eastAsia="Times New Roman"/>
        </w:rPr>
        <w:t xml:space="preserve"> species. Among these, </w:t>
      </w:r>
      <w:r w:rsidRPr="00266486">
        <w:rPr>
          <w:color w:val="000000"/>
        </w:rPr>
        <w:t>24</w:t>
      </w:r>
      <w:r>
        <w:rPr>
          <w:color w:val="000000"/>
        </w:rPr>
        <w:t>3</w:t>
      </w:r>
      <w:r w:rsidRPr="00266486">
        <w:rPr>
          <w:color w:val="000000"/>
        </w:rPr>
        <w:t xml:space="preserve"> Asteraceae species </w:t>
      </w:r>
      <w:r w:rsidRPr="00266486">
        <w:rPr>
          <w:rFonts w:eastAsia="Times New Roman"/>
        </w:rPr>
        <w:t xml:space="preserve">represent </w:t>
      </w:r>
      <w:r w:rsidRPr="00266486">
        <w:rPr>
          <w:color w:val="000000"/>
        </w:rPr>
        <w:t>21</w:t>
      </w:r>
      <w:r>
        <w:rPr>
          <w:color w:val="000000"/>
        </w:rPr>
        <w:t>2</w:t>
      </w:r>
      <w:r w:rsidRPr="00266486">
        <w:rPr>
          <w:color w:val="000000"/>
        </w:rPr>
        <w:t xml:space="preserve"> genera, covering all 13 subfamilies and 41 of 45 currently recognized tribes </w:t>
      </w:r>
      <w:r>
        <w:rPr>
          <w:noProof/>
          <w:color w:val="000000"/>
        </w:rPr>
        <w:t>(Fu et al., 2016; Funk et al., 2009b; Panero et al., 2014; Panero and Funk, 2008)</w:t>
      </w:r>
      <w:r>
        <w:rPr>
          <w:color w:val="000000"/>
        </w:rPr>
        <w:t xml:space="preserve"> and five are outgroups</w:t>
      </w:r>
      <w:r w:rsidRPr="00266486">
        <w:rPr>
          <w:color w:val="000000"/>
        </w:rPr>
        <w:t>. Specifically, 1</w:t>
      </w:r>
      <w:r>
        <w:rPr>
          <w:color w:val="000000"/>
        </w:rPr>
        <w:t>49</w:t>
      </w:r>
      <w:r w:rsidRPr="00266486">
        <w:rPr>
          <w:color w:val="000000"/>
        </w:rPr>
        <w:t xml:space="preserve"> species were from the largest subfamily Asteroideae </w:t>
      </w:r>
      <w:r w:rsidRPr="0002179F">
        <w:rPr>
          <w:color w:val="000000"/>
        </w:rPr>
        <w:t xml:space="preserve">for 20 of 21 tribes, including Doroniceae </w:t>
      </w:r>
      <w:r>
        <w:rPr>
          <w:noProof/>
          <w:color w:val="000000"/>
        </w:rPr>
        <w:t>(Fu et al., 2016)</w:t>
      </w:r>
      <w:r w:rsidRPr="0002179F">
        <w:rPr>
          <w:color w:val="000000"/>
        </w:rPr>
        <w:t>, but not the monotypic tribe</w:t>
      </w:r>
      <w:r w:rsidRPr="00266486">
        <w:rPr>
          <w:color w:val="000000"/>
        </w:rPr>
        <w:t xml:space="preserve"> Feddeeae. To test for monophyly of large tribes and to resolve infra-tribal relationships, species from different subtribes were sampled, also providing a basis for diversification analyses; even for small </w:t>
      </w:r>
      <w:r w:rsidRPr="00266486">
        <w:rPr>
          <w:color w:val="000000"/>
        </w:rPr>
        <w:lastRenderedPageBreak/>
        <w:t>tribes, two or more species were included for most. The four tribes not included here have a combined total of only nine species [the aforementioned Feddeeae (1 sp</w:t>
      </w:r>
      <w:r>
        <w:rPr>
          <w:color w:val="000000"/>
        </w:rPr>
        <w:t>ecies</w:t>
      </w:r>
      <w:r w:rsidRPr="00266486">
        <w:rPr>
          <w:color w:val="000000"/>
        </w:rPr>
        <w:t>), and three tribes in Cichorioideae, Eremothamneae (3 sp</w:t>
      </w:r>
      <w:r>
        <w:rPr>
          <w:color w:val="000000"/>
        </w:rPr>
        <w:t>ecies</w:t>
      </w:r>
      <w:r w:rsidRPr="00266486">
        <w:rPr>
          <w:color w:val="000000"/>
        </w:rPr>
        <w:t>), Moquinieae (2 sp</w:t>
      </w:r>
      <w:r>
        <w:rPr>
          <w:color w:val="000000"/>
        </w:rPr>
        <w:t>ecies</w:t>
      </w:r>
      <w:r w:rsidRPr="00266486">
        <w:rPr>
          <w:color w:val="000000"/>
        </w:rPr>
        <w:t>) and Platycarpheae (3 sp</w:t>
      </w:r>
      <w:r>
        <w:rPr>
          <w:color w:val="000000"/>
        </w:rPr>
        <w:t>ecies</w:t>
      </w:r>
      <w:r w:rsidRPr="00266486">
        <w:rPr>
          <w:color w:val="000000"/>
        </w:rPr>
        <w:t xml:space="preserve">)] </w:t>
      </w:r>
      <w:r>
        <w:rPr>
          <w:noProof/>
          <w:color w:val="000000"/>
        </w:rPr>
        <w:t>(Bonifacino et al., 2009; Cariaga et al., 2008; Funk et al., 2009a; Funk et al., 2009b)</w:t>
      </w:r>
      <w:r w:rsidRPr="00266486">
        <w:rPr>
          <w:color w:val="000000"/>
        </w:rPr>
        <w:t xml:space="preserve">. In addition, two or more species were included for </w:t>
      </w:r>
      <w:r>
        <w:rPr>
          <w:color w:val="000000"/>
        </w:rPr>
        <w:t>27</w:t>
      </w:r>
      <w:r w:rsidRPr="00266486">
        <w:rPr>
          <w:color w:val="000000"/>
        </w:rPr>
        <w:t xml:space="preserve"> genera, including two large genera (</w:t>
      </w:r>
      <w:r w:rsidRPr="00266486">
        <w:rPr>
          <w:i/>
          <w:color w:val="000000"/>
        </w:rPr>
        <w:t xml:space="preserve">Artemisia </w:t>
      </w:r>
      <w:r w:rsidRPr="00266486">
        <w:rPr>
          <w:color w:val="000000"/>
        </w:rPr>
        <w:t xml:space="preserve">and </w:t>
      </w:r>
      <w:r w:rsidRPr="00266486">
        <w:rPr>
          <w:i/>
          <w:color w:val="000000"/>
        </w:rPr>
        <w:t>Senecio</w:t>
      </w:r>
      <w:r w:rsidRPr="00266486">
        <w:rPr>
          <w:color w:val="000000"/>
        </w:rPr>
        <w:t xml:space="preserve">) that were previously reported as not monophyletic </w:t>
      </w:r>
      <w:r>
        <w:rPr>
          <w:noProof/>
          <w:color w:val="000000"/>
        </w:rPr>
        <w:t>(Funk et al., 2014; Pasini et al., 2016; Pelser et al., 2010; Watson et al., 2000)</w:t>
      </w:r>
      <w:r w:rsidRPr="00266486">
        <w:rPr>
          <w:color w:val="000000"/>
        </w:rPr>
        <w:t xml:space="preserve">. </w:t>
      </w:r>
      <w:r>
        <w:rPr>
          <w:color w:val="000000"/>
        </w:rPr>
        <w:t>As outgroups</w:t>
      </w:r>
      <w:r w:rsidRPr="00266486">
        <w:rPr>
          <w:color w:val="000000"/>
        </w:rPr>
        <w:t xml:space="preserve">, five species from three families closely related to Asteraceae </w:t>
      </w:r>
      <w:r>
        <w:rPr>
          <w:noProof/>
          <w:color w:val="000000"/>
        </w:rPr>
        <w:t>(Nordenstam et al., 2009; Winkworth et al., 2008)</w:t>
      </w:r>
      <w:r w:rsidRPr="00266486">
        <w:rPr>
          <w:color w:val="000000"/>
        </w:rPr>
        <w:t xml:space="preserve"> were included, including three species of Calyceraceae, the sister family of Asteraceae, </w:t>
      </w:r>
      <w:r w:rsidRPr="00266486">
        <w:rPr>
          <w:i/>
          <w:color w:val="000000"/>
        </w:rPr>
        <w:t>Scaevola aemula</w:t>
      </w:r>
      <w:r w:rsidRPr="00266486">
        <w:rPr>
          <w:color w:val="000000"/>
        </w:rPr>
        <w:t xml:space="preserve"> of Goodeniaceae</w:t>
      </w:r>
      <w:r>
        <w:rPr>
          <w:color w:val="000000"/>
        </w:rPr>
        <w:t>,</w:t>
      </w:r>
      <w:r w:rsidRPr="00266486">
        <w:rPr>
          <w:color w:val="000000"/>
        </w:rPr>
        <w:t xml:space="preserve"> and </w:t>
      </w:r>
      <w:r w:rsidRPr="00266486">
        <w:rPr>
          <w:i/>
          <w:color w:val="000000"/>
        </w:rPr>
        <w:t>Menyanthes</w:t>
      </w:r>
      <w:r w:rsidRPr="00266486">
        <w:rPr>
          <w:color w:val="000000"/>
        </w:rPr>
        <w:t xml:space="preserve"> </w:t>
      </w:r>
      <w:r w:rsidRPr="00266486">
        <w:rPr>
          <w:i/>
          <w:color w:val="000000"/>
        </w:rPr>
        <w:t>trifoliate</w:t>
      </w:r>
      <w:r w:rsidRPr="00266486">
        <w:rPr>
          <w:color w:val="000000"/>
        </w:rPr>
        <w:t xml:space="preserve"> of Menyanthaceae.</w:t>
      </w:r>
    </w:p>
    <w:p w:rsidR="00EA1186" w:rsidRPr="00266486" w:rsidRDefault="00EA1186" w:rsidP="00EA1186">
      <w:pPr>
        <w:spacing w:after="180" w:line="340" w:lineRule="exact"/>
        <w:jc w:val="both"/>
        <w:rPr>
          <w:rFonts w:eastAsia="Times New Roman"/>
        </w:rPr>
      </w:pPr>
      <w:r w:rsidRPr="00266486">
        <w:rPr>
          <w:b/>
          <w:color w:val="000000" w:themeColor="text1"/>
        </w:rPr>
        <w:t>2. Selection of low-copy nuclear genes for phylogenetic analyses</w:t>
      </w:r>
    </w:p>
    <w:p w:rsidR="00EA1186" w:rsidRDefault="00EA1186" w:rsidP="00EA1186">
      <w:pPr>
        <w:spacing w:after="180" w:line="340" w:lineRule="exact"/>
        <w:ind w:firstLine="425"/>
        <w:jc w:val="both"/>
        <w:rPr>
          <w:color w:val="000000"/>
        </w:rPr>
      </w:pPr>
      <w:r w:rsidRPr="00266486">
        <w:rPr>
          <w:color w:val="000000"/>
        </w:rPr>
        <w:t>To avoid biases of specific selection procedure and to provide overlap with previous studies</w:t>
      </w:r>
      <w:r>
        <w:rPr>
          <w:color w:val="000000"/>
        </w:rPr>
        <w:t xml:space="preserve"> of </w:t>
      </w:r>
      <w:r w:rsidRPr="00266486">
        <w:rPr>
          <w:color w:val="000000"/>
        </w:rPr>
        <w:t>Asteraceae</w:t>
      </w:r>
      <w:r>
        <w:rPr>
          <w:color w:val="000000"/>
        </w:rPr>
        <w:t xml:space="preserve"> that we</w:t>
      </w:r>
      <w:r w:rsidRPr="00266486">
        <w:rPr>
          <w:color w:val="000000"/>
        </w:rPr>
        <w:t xml:space="preserve"> conducted using much smaller taxon sampling, we included low-copy nuclear genes from three separate approaches for phylogenetic analyses (see Figure S</w:t>
      </w:r>
      <w:r>
        <w:rPr>
          <w:color w:val="000000"/>
        </w:rPr>
        <w:t>2</w:t>
      </w:r>
      <w:r w:rsidRPr="00266486">
        <w:rPr>
          <w:color w:val="000000"/>
        </w:rPr>
        <w:t xml:space="preserve">A for a flow chart for gene selection and Materials and Methods for more information). These approaches and subsequent gene selection steps included considerations of one or more of the following: (1) relatively high taxon coverage for individual genes to minimize missing data; (2) relatively long sequences to reduce the chance of low phylogenetic signals per sequence and single-gene trees with low supports; (3) avoiding conflicts with well-supported established relationships among Asteraceae taxa when possible. </w:t>
      </w:r>
    </w:p>
    <w:p w:rsidR="00EA1186" w:rsidRDefault="00EA1186" w:rsidP="00EA1186">
      <w:pPr>
        <w:spacing w:after="180" w:line="340" w:lineRule="exact"/>
        <w:ind w:firstLine="425"/>
        <w:jc w:val="both"/>
        <w:rPr>
          <w:color w:val="000000"/>
        </w:rPr>
      </w:pPr>
      <w:r w:rsidRPr="00266486">
        <w:rPr>
          <w:color w:val="000000"/>
        </w:rPr>
        <w:t xml:space="preserve">The first approach is a rapid and simple method to obtain a large number of low-copy nuclear genes selected from a set of 4180 candidate orthologous genes previously identified by HaMStR </w:t>
      </w:r>
      <w:r>
        <w:rPr>
          <w:noProof/>
          <w:color w:val="000000"/>
        </w:rPr>
        <w:t>(Ebersberger et al., 2009)</w:t>
      </w:r>
      <w:r w:rsidRPr="00266486">
        <w:rPr>
          <w:color w:val="000000"/>
        </w:rPr>
        <w:t xml:space="preserve"> using nine public angiosperm genome datasets</w:t>
      </w:r>
      <w:r>
        <w:rPr>
          <w:color w:val="000000"/>
        </w:rPr>
        <w:t xml:space="preserve"> </w:t>
      </w:r>
      <w:r>
        <w:rPr>
          <w:noProof/>
          <w:color w:val="000000"/>
        </w:rPr>
        <w:t>(Zeng et al., 2014)</w:t>
      </w:r>
      <w:r w:rsidRPr="00266486">
        <w:rPr>
          <w:color w:val="000000"/>
        </w:rPr>
        <w:t>. We used 36 species from different Asteraceae tribes (Figure S</w:t>
      </w:r>
      <w:r>
        <w:rPr>
          <w:color w:val="000000"/>
        </w:rPr>
        <w:t>2</w:t>
      </w:r>
      <w:r w:rsidRPr="00266486">
        <w:rPr>
          <w:color w:val="000000"/>
        </w:rPr>
        <w:t>B</w:t>
      </w:r>
      <w:r>
        <w:rPr>
          <w:color w:val="000000"/>
        </w:rPr>
        <w:t>, Table S</w:t>
      </w:r>
      <w:r>
        <w:rPr>
          <w:rFonts w:hint="eastAsia"/>
          <w:color w:val="000000"/>
        </w:rPr>
        <w:t>7</w:t>
      </w:r>
      <w:r w:rsidRPr="00266486">
        <w:rPr>
          <w:color w:val="000000"/>
        </w:rPr>
        <w:t>) with relatively high quality transcriptomes that allowed detection of more than 75% of the 4180 genes in each species (Table S</w:t>
      </w:r>
      <w:r>
        <w:rPr>
          <w:rFonts w:hint="eastAsia"/>
          <w:color w:val="000000"/>
        </w:rPr>
        <w:t>8</w:t>
      </w:r>
      <w:r w:rsidRPr="00266486">
        <w:rPr>
          <w:color w:val="000000"/>
        </w:rPr>
        <w:t>). A common set of genes was identified in most species, resulting in 3336 genes that were each found in at least 80% of the species, with one or more copies per species. These were then screened for those having an average of 1.0-1.1 copies per species, yielding 847 candidate low-copy genes (set 1, Figure S</w:t>
      </w:r>
      <w:r>
        <w:rPr>
          <w:color w:val="000000"/>
        </w:rPr>
        <w:t>2</w:t>
      </w:r>
      <w:r w:rsidRPr="00266486">
        <w:rPr>
          <w:color w:val="000000"/>
        </w:rPr>
        <w:t>A), which were considered to be low-copy for most taxa and relatively easily found for most species. A second set of 177 genes (set 2, Figure S</w:t>
      </w:r>
      <w:r>
        <w:rPr>
          <w:color w:val="000000"/>
        </w:rPr>
        <w:t>2</w:t>
      </w:r>
      <w:r w:rsidRPr="00266486">
        <w:rPr>
          <w:color w:val="000000"/>
        </w:rPr>
        <w:t>A) were selected starting from the same set of 4180 genes from the 36 species (Table S8), by removing genes having conflicting topologies to that shown in Figure S</w:t>
      </w:r>
      <w:r>
        <w:rPr>
          <w:color w:val="000000"/>
        </w:rPr>
        <w:t>2</w:t>
      </w:r>
      <w:r w:rsidRPr="00266486">
        <w:rPr>
          <w:color w:val="000000"/>
        </w:rPr>
        <w:t>B, which only assumes the monophyly of Asteraceae tribes. A third set of 175 candidate orthologs (set 3, Figure S</w:t>
      </w:r>
      <w:r>
        <w:rPr>
          <w:color w:val="000000"/>
        </w:rPr>
        <w:t>2</w:t>
      </w:r>
      <w:r w:rsidRPr="00266486">
        <w:rPr>
          <w:color w:val="000000"/>
        </w:rPr>
        <w:t xml:space="preserve">A) were previously identified </w:t>
      </w:r>
      <w:r>
        <w:rPr>
          <w:noProof/>
          <w:color w:val="000000"/>
        </w:rPr>
        <w:lastRenderedPageBreak/>
        <w:t>(Huang et al., 2016b)</w:t>
      </w:r>
      <w:r w:rsidRPr="00266486">
        <w:rPr>
          <w:color w:val="000000"/>
        </w:rPr>
        <w:t xml:space="preserve"> and included here to allow overlap of nuclear genes between this study and the previous analyses, which included 73 Asteraceae species from 6 subfamilies. </w:t>
      </w:r>
    </w:p>
    <w:p w:rsidR="00EA1186" w:rsidRPr="00266486" w:rsidRDefault="00EA1186" w:rsidP="00EA1186">
      <w:pPr>
        <w:spacing w:after="180" w:line="340" w:lineRule="exact"/>
        <w:ind w:firstLine="425"/>
        <w:jc w:val="both"/>
        <w:rPr>
          <w:color w:val="000000"/>
        </w:rPr>
      </w:pPr>
      <w:r w:rsidRPr="00266486">
        <w:rPr>
          <w:color w:val="000000"/>
        </w:rPr>
        <w:t>Homologs of genes in all three sets were obtained from the taxa in this study, and preliminary phylogenetic analyses using each of the three gene sets (see next section) were performed. For comparison between the three gene sets (sets 1-3), coalescent phylogenetic trees were constructed (Figures S</w:t>
      </w:r>
      <w:r>
        <w:rPr>
          <w:color w:val="000000"/>
        </w:rPr>
        <w:t>3</w:t>
      </w:r>
      <w:r w:rsidRPr="00266486">
        <w:rPr>
          <w:color w:val="000000"/>
        </w:rPr>
        <w:t>-</w:t>
      </w:r>
      <w:r>
        <w:rPr>
          <w:color w:val="000000"/>
        </w:rPr>
        <w:t>5</w:t>
      </w:r>
      <w:r w:rsidRPr="00266486">
        <w:rPr>
          <w:color w:val="000000"/>
        </w:rPr>
        <w:t>, respectively) and showed strong supports for most nodes including those for most subfamilies and tribes. Among these three gene sets, 112 genes were redundantly present in more than one set and were removed, resulting in a combined set of 1087 genes (=847+177+175-112) (set 4, Figure S</w:t>
      </w:r>
      <w:r>
        <w:rPr>
          <w:color w:val="000000"/>
        </w:rPr>
        <w:t>2</w:t>
      </w:r>
      <w:r w:rsidRPr="00266486">
        <w:rPr>
          <w:color w:val="000000"/>
        </w:rPr>
        <w:t xml:space="preserve">A; </w:t>
      </w:r>
      <w:r w:rsidRPr="002F39F8">
        <w:rPr>
          <w:color w:val="000000"/>
        </w:rPr>
        <w:t>Table S9</w:t>
      </w:r>
      <w:r w:rsidRPr="00266486">
        <w:rPr>
          <w:color w:val="000000"/>
        </w:rPr>
        <w:t>). To reduce possible errors due to missing data, we used 80% taxon coverage and increasing sequence lengths as filters, and identified subsets of 649 (&gt;600 bp; set 5, Figure S</w:t>
      </w:r>
      <w:r>
        <w:rPr>
          <w:color w:val="000000"/>
        </w:rPr>
        <w:t>2</w:t>
      </w:r>
      <w:r w:rsidRPr="00266486">
        <w:rPr>
          <w:color w:val="000000"/>
        </w:rPr>
        <w:t>A), 384 (&gt;800 bp; set 7, Figure S</w:t>
      </w:r>
      <w:r>
        <w:rPr>
          <w:color w:val="000000"/>
        </w:rPr>
        <w:t>2</w:t>
      </w:r>
      <w:r w:rsidRPr="00266486">
        <w:rPr>
          <w:color w:val="000000"/>
        </w:rPr>
        <w:t>A), and 202 (&gt;1000 bp; set 9) genes (Figure S</w:t>
      </w:r>
      <w:r>
        <w:rPr>
          <w:color w:val="000000"/>
        </w:rPr>
        <w:t>2</w:t>
      </w:r>
      <w:r w:rsidRPr="00266486">
        <w:rPr>
          <w:color w:val="000000"/>
        </w:rPr>
        <w:t>A). Finally, 192 genes (set 11, Figure S</w:t>
      </w:r>
      <w:r>
        <w:rPr>
          <w:rFonts w:hint="eastAsia"/>
          <w:color w:val="000000"/>
        </w:rPr>
        <w:t>2</w:t>
      </w:r>
      <w:r w:rsidRPr="00266486">
        <w:rPr>
          <w:color w:val="000000"/>
        </w:rPr>
        <w:t>A) were retained after removing genes exhibiting conflicts with a topology having a greater number of tribes in the large subfamily Asteroideae (Figure S</w:t>
      </w:r>
      <w:r>
        <w:rPr>
          <w:color w:val="000000"/>
        </w:rPr>
        <w:t>2</w:t>
      </w:r>
      <w:r w:rsidRPr="00266486">
        <w:rPr>
          <w:color w:val="000000"/>
        </w:rPr>
        <w:t>C). Statistics of genes used in this study are provided in Table S9. The gene sets 4, 5, 7, 11 with 1087, 649, 384, 192 genes, respectively, were used for coalescent analyses (shown in Figures S</w:t>
      </w:r>
      <w:r>
        <w:rPr>
          <w:color w:val="000000"/>
        </w:rPr>
        <w:t>6</w:t>
      </w:r>
      <w:r w:rsidRPr="00266486">
        <w:rPr>
          <w:color w:val="000000"/>
        </w:rPr>
        <w:t xml:space="preserve">, </w:t>
      </w:r>
      <w:r>
        <w:rPr>
          <w:color w:val="000000"/>
        </w:rPr>
        <w:t>7</w:t>
      </w:r>
      <w:r w:rsidRPr="00266486">
        <w:rPr>
          <w:color w:val="000000"/>
        </w:rPr>
        <w:t xml:space="preserve">, </w:t>
      </w:r>
      <w:r>
        <w:rPr>
          <w:color w:val="000000"/>
        </w:rPr>
        <w:t>9</w:t>
      </w:r>
      <w:r w:rsidRPr="00266486">
        <w:rPr>
          <w:color w:val="000000"/>
        </w:rPr>
        <w:t>, 1</w:t>
      </w:r>
      <w:r>
        <w:rPr>
          <w:color w:val="000000"/>
        </w:rPr>
        <w:t>2</w:t>
      </w:r>
      <w:r w:rsidRPr="00266486">
        <w:rPr>
          <w:color w:val="000000"/>
        </w:rPr>
        <w:t>, respectively) and set 11 was also used for ML analysis (</w:t>
      </w:r>
      <w:r w:rsidRPr="002F39F8">
        <w:rPr>
          <w:color w:val="000000"/>
        </w:rPr>
        <w:t>shown in Figure S14</w:t>
      </w:r>
      <w:r w:rsidRPr="00266486">
        <w:rPr>
          <w:color w:val="000000"/>
        </w:rPr>
        <w:t>), with the results from these five phylogenies summarized in Figures 1 and 2.</w:t>
      </w:r>
    </w:p>
    <w:p w:rsidR="00EA1186" w:rsidRPr="00F71054" w:rsidRDefault="00EA1186" w:rsidP="00EA1186">
      <w:pPr>
        <w:spacing w:after="180" w:line="340" w:lineRule="exact"/>
        <w:ind w:firstLine="425"/>
        <w:jc w:val="both"/>
        <w:rPr>
          <w:rFonts w:eastAsia="PMingLiU"/>
          <w:b/>
          <w:color w:val="000000" w:themeColor="text1"/>
          <w:lang w:eastAsia="zh-TW"/>
        </w:rPr>
      </w:pPr>
      <w:r w:rsidRPr="00266486">
        <w:rPr>
          <w:color w:val="000000"/>
        </w:rPr>
        <w:t>The sets of genes that were removed from the main phylogenetic analyses were also used for phylogenetic analyses, as a comparison and to detect possible conflicting signals found in some of the removed genes; these phylogenies are shown in Figures S</w:t>
      </w:r>
      <w:r>
        <w:rPr>
          <w:color w:val="000000"/>
        </w:rPr>
        <w:t>8</w:t>
      </w:r>
      <w:r w:rsidRPr="00266486">
        <w:rPr>
          <w:color w:val="000000"/>
        </w:rPr>
        <w:t xml:space="preserve">, </w:t>
      </w:r>
      <w:r>
        <w:rPr>
          <w:color w:val="000000"/>
        </w:rPr>
        <w:t>10</w:t>
      </w:r>
      <w:r w:rsidRPr="00266486">
        <w:rPr>
          <w:color w:val="000000"/>
        </w:rPr>
        <w:t>, 1</w:t>
      </w:r>
      <w:r>
        <w:rPr>
          <w:color w:val="000000"/>
        </w:rPr>
        <w:t>1</w:t>
      </w:r>
      <w:r w:rsidRPr="00266486">
        <w:rPr>
          <w:color w:val="000000"/>
        </w:rPr>
        <w:t>, 1</w:t>
      </w:r>
      <w:r>
        <w:rPr>
          <w:color w:val="000000"/>
        </w:rPr>
        <w:t>3</w:t>
      </w:r>
      <w:r w:rsidRPr="00266486">
        <w:rPr>
          <w:color w:val="000000"/>
        </w:rPr>
        <w:t xml:space="preserve"> for sets 6, 8-10, respectively. The support values from all 12 phylogenies are summarized in </w:t>
      </w:r>
      <w:r w:rsidRPr="002F39F8">
        <w:rPr>
          <w:color w:val="000000"/>
        </w:rPr>
        <w:t>Figure S15</w:t>
      </w:r>
      <w:r>
        <w:rPr>
          <w:rFonts w:hint="eastAsia"/>
          <w:color w:val="000000"/>
        </w:rPr>
        <w:t>.</w:t>
      </w:r>
    </w:p>
    <w:p w:rsidR="00EA1186" w:rsidRPr="00266486" w:rsidRDefault="00EA1186" w:rsidP="00EA1186">
      <w:pPr>
        <w:spacing w:after="180" w:line="340" w:lineRule="exact"/>
        <w:jc w:val="both"/>
        <w:rPr>
          <w:b/>
          <w:color w:val="000000" w:themeColor="text1"/>
        </w:rPr>
      </w:pPr>
      <w:r>
        <w:rPr>
          <w:rFonts w:eastAsia="PMingLiU"/>
          <w:b/>
          <w:color w:val="000000" w:themeColor="text1"/>
          <w:lang w:eastAsia="zh-TW"/>
        </w:rPr>
        <w:t>3</w:t>
      </w:r>
      <w:r w:rsidRPr="00266486">
        <w:rPr>
          <w:b/>
          <w:color w:val="000000" w:themeColor="text1"/>
        </w:rPr>
        <w:t>. Factors contributing to stability in divergence time estimates</w:t>
      </w:r>
    </w:p>
    <w:p w:rsidR="00EA1186" w:rsidRPr="00266486" w:rsidRDefault="00EA1186" w:rsidP="00EA1186">
      <w:pPr>
        <w:spacing w:after="180" w:line="340" w:lineRule="exact"/>
        <w:ind w:firstLine="425"/>
        <w:jc w:val="both"/>
        <w:rPr>
          <w:color w:val="000000" w:themeColor="text1"/>
          <w:lang w:eastAsia="zh-TW"/>
        </w:rPr>
      </w:pPr>
      <w:r w:rsidRPr="00266486">
        <w:rPr>
          <w:color w:val="000000" w:themeColor="text1"/>
        </w:rPr>
        <w:t xml:space="preserve">The taxon samplings here covered almost all tribes of Asteraceae (41 out of 44); the extensive taxon coverage and the use of several fossil constraints for molecular clock analyses of Asteraceae divergence might be the primary factors contributing to the stability of estimated ages from analyses using different calibrations sets. In our recent study </w:t>
      </w:r>
      <w:r>
        <w:rPr>
          <w:noProof/>
          <w:color w:val="000000" w:themeColor="text1"/>
        </w:rPr>
        <w:t>(Huang et al., 2016b)</w:t>
      </w:r>
      <w:r w:rsidRPr="00266486">
        <w:rPr>
          <w:color w:val="000000" w:themeColor="text1"/>
        </w:rPr>
        <w:t xml:space="preserve"> with members of 18 Asteraceae tribes, we also tested different placements of </w:t>
      </w:r>
      <w:r w:rsidRPr="00266486">
        <w:rPr>
          <w:i/>
          <w:color w:val="000000" w:themeColor="text1"/>
        </w:rPr>
        <w:t>T</w:t>
      </w:r>
      <w:r w:rsidRPr="00266486">
        <w:rPr>
          <w:color w:val="000000" w:themeColor="text1"/>
        </w:rPr>
        <w:t>.</w:t>
      </w:r>
      <w:r w:rsidRPr="00266486">
        <w:rPr>
          <w:i/>
          <w:color w:val="000000" w:themeColor="text1"/>
        </w:rPr>
        <w:t xml:space="preserve"> </w:t>
      </w:r>
      <w:r w:rsidRPr="00266486">
        <w:rPr>
          <w:rFonts w:eastAsia="宋体"/>
          <w:i/>
          <w:iCs/>
          <w:color w:val="000000" w:themeColor="text1"/>
        </w:rPr>
        <w:t>lilliei</w:t>
      </w:r>
      <w:r w:rsidRPr="00266486">
        <w:rPr>
          <w:color w:val="000000" w:themeColor="text1"/>
        </w:rPr>
        <w:t xml:space="preserve"> type A. Because only one Barnadesioideae species was included, the MP position for </w:t>
      </w:r>
      <w:r w:rsidRPr="00266486">
        <w:rPr>
          <w:i/>
          <w:color w:val="000000" w:themeColor="text1"/>
        </w:rPr>
        <w:t>T</w:t>
      </w:r>
      <w:r w:rsidRPr="00266486">
        <w:rPr>
          <w:color w:val="000000" w:themeColor="text1"/>
        </w:rPr>
        <w:t>.</w:t>
      </w:r>
      <w:r w:rsidRPr="00266486">
        <w:rPr>
          <w:i/>
          <w:color w:val="000000" w:themeColor="text1"/>
        </w:rPr>
        <w:t xml:space="preserve"> </w:t>
      </w:r>
      <w:r w:rsidRPr="00266486">
        <w:rPr>
          <w:rFonts w:eastAsia="宋体"/>
          <w:i/>
          <w:iCs/>
          <w:color w:val="000000" w:themeColor="text1"/>
        </w:rPr>
        <w:t>lilliei</w:t>
      </w:r>
      <w:r w:rsidRPr="00266486">
        <w:rPr>
          <w:color w:val="000000" w:themeColor="text1"/>
        </w:rPr>
        <w:t xml:space="preserve"> type A was the node of crown Asteraceae in that study, and the other two sets of positions were the same as sets 3 and 5 in this present study. The resulting ages in the </w:t>
      </w:r>
      <w:r>
        <w:rPr>
          <w:noProof/>
          <w:color w:val="000000" w:themeColor="text1"/>
        </w:rPr>
        <w:t>Huang et al. (2016b</w:t>
      </w:r>
      <w:r w:rsidRPr="00266486">
        <w:rPr>
          <w:color w:val="000000" w:themeColor="text1"/>
        </w:rPr>
        <w:t xml:space="preserve"> analyses showed a 20-Mya variation of crown Asteraceae, but here the variations are lower than 10 Mya even with the placement of the same fossil in a much-derived node. The much larger number of tribes (41, compared with 18 before) included in this study allowed the inclusion of more fossils in the family. Thus </w:t>
      </w:r>
      <w:r w:rsidRPr="00266486">
        <w:rPr>
          <w:color w:val="000000" w:themeColor="text1"/>
        </w:rPr>
        <w:lastRenderedPageBreak/>
        <w:t xml:space="preserve">the high taxon coverage and the use of multiple Asteraceae fossils likely stabilized the ages with different placement of one fossil. Nevertheless, considering the potential issue associates with </w:t>
      </w:r>
      <w:r w:rsidRPr="00266486">
        <w:rPr>
          <w:i/>
          <w:color w:val="000000" w:themeColor="text1"/>
        </w:rPr>
        <w:t>T</w:t>
      </w:r>
      <w:r w:rsidRPr="00266486">
        <w:rPr>
          <w:color w:val="000000" w:themeColor="text1"/>
        </w:rPr>
        <w:t xml:space="preserve">. </w:t>
      </w:r>
      <w:r w:rsidRPr="00266486">
        <w:rPr>
          <w:rFonts w:eastAsia="宋体"/>
          <w:i/>
          <w:iCs/>
          <w:color w:val="000000" w:themeColor="text1"/>
        </w:rPr>
        <w:t>lilliei</w:t>
      </w:r>
      <w:r w:rsidRPr="00266486">
        <w:rPr>
          <w:color w:val="000000" w:themeColor="text1"/>
        </w:rPr>
        <w:t xml:space="preserve"> type A fossil pollen </w:t>
      </w:r>
      <w:r>
        <w:rPr>
          <w:noProof/>
          <w:color w:val="000000" w:themeColor="text1"/>
        </w:rPr>
        <w:t>(Barreda et al., 2016; Panero, 2016; Panero and Crozier, 2016)</w:t>
      </w:r>
      <w:r w:rsidRPr="00266486">
        <w:rPr>
          <w:color w:val="000000" w:themeColor="text1"/>
        </w:rPr>
        <w:t>, chronogram with calibration set 1 was used in subsequent analyses.</w:t>
      </w:r>
    </w:p>
    <w:p w:rsidR="00EA1186" w:rsidRPr="00266486" w:rsidRDefault="00EA1186" w:rsidP="00EA1186">
      <w:pPr>
        <w:spacing w:after="180" w:line="340" w:lineRule="exact"/>
        <w:jc w:val="both"/>
        <w:rPr>
          <w:rFonts w:eastAsia="PMingLiU"/>
          <w:b/>
          <w:color w:val="000000"/>
          <w:lang w:eastAsia="zh-TW"/>
        </w:rPr>
      </w:pPr>
      <w:r>
        <w:rPr>
          <w:rFonts w:eastAsia="PMingLiU"/>
          <w:b/>
          <w:color w:val="000000"/>
          <w:lang w:eastAsia="zh-TW"/>
        </w:rPr>
        <w:t>4</w:t>
      </w:r>
      <w:r w:rsidRPr="00266486">
        <w:rPr>
          <w:rFonts w:eastAsia="PMingLiU"/>
          <w:b/>
          <w:color w:val="000000"/>
          <w:lang w:eastAsia="zh-TW"/>
        </w:rPr>
        <w:t>. Diversification rate shifts</w:t>
      </w:r>
    </w:p>
    <w:p w:rsidR="00EA1186" w:rsidRPr="00266486" w:rsidRDefault="00EA1186" w:rsidP="00EA1186">
      <w:pPr>
        <w:spacing w:after="180" w:line="340" w:lineRule="exact"/>
        <w:ind w:firstLine="420"/>
        <w:jc w:val="both"/>
        <w:rPr>
          <w:color w:val="000000" w:themeColor="text1"/>
          <w:lang w:eastAsia="zh-TW"/>
        </w:rPr>
      </w:pPr>
      <w:r w:rsidRPr="00266486">
        <w:rPr>
          <w:color w:val="000000" w:themeColor="text1"/>
          <w:lang w:eastAsia="zh-TW"/>
        </w:rPr>
        <w:t>We further examined the rate shift results from analysis using the of BAMM programs, and found evidence suggesting that two more rate shifts (Figure 3, potential shift positions 3 and 4) might be ignored in the MAP</w:t>
      </w:r>
      <w:r w:rsidRPr="00266486">
        <w:rPr>
          <w:lang w:eastAsia="zh-TW"/>
        </w:rPr>
        <w:t xml:space="preserve"> configuration (three shifts; Figure S30) under time-constant algorithm</w:t>
      </w:r>
      <w:r w:rsidRPr="00266486">
        <w:rPr>
          <w:color w:val="000000" w:themeColor="text1"/>
          <w:lang w:eastAsia="zh-TW"/>
        </w:rPr>
        <w:t xml:space="preserve"> due to the distribution of rate shifts among neighboring nodes </w:t>
      </w:r>
      <w:r w:rsidRPr="00266486">
        <w:rPr>
          <w:lang w:eastAsia="zh-TW"/>
        </w:rPr>
        <w:t>with varying but relatively high frequencies, as explained below</w:t>
      </w:r>
      <w:r w:rsidRPr="00266486">
        <w:rPr>
          <w:color w:val="000000" w:themeColor="text1"/>
          <w:lang w:eastAsia="zh-TW"/>
        </w:rPr>
        <w:t xml:space="preserve">. </w:t>
      </w:r>
    </w:p>
    <w:p w:rsidR="00EA1186" w:rsidRPr="00266486" w:rsidRDefault="00EA1186" w:rsidP="00EA1186">
      <w:pPr>
        <w:spacing w:after="180" w:line="340" w:lineRule="exact"/>
        <w:ind w:firstLine="420"/>
        <w:jc w:val="both"/>
      </w:pPr>
      <w:r w:rsidRPr="00266486">
        <w:rPr>
          <w:color w:val="000000" w:themeColor="text1"/>
          <w:lang w:eastAsia="zh-TW"/>
        </w:rPr>
        <w:t>First, to better understand the results from BAMM analyses, for both time-constant and time-variable algorithms</w:t>
      </w:r>
      <w:r>
        <w:rPr>
          <w:color w:val="000000" w:themeColor="text1"/>
          <w:lang w:eastAsia="zh-TW"/>
        </w:rPr>
        <w:t>,</w:t>
      </w:r>
      <w:r w:rsidRPr="00266486">
        <w:rPr>
          <w:color w:val="000000" w:themeColor="text1"/>
          <w:lang w:eastAsia="zh-TW"/>
        </w:rPr>
        <w:t xml:space="preserve"> we generated macroevolutionary cohort matrices </w:t>
      </w:r>
      <w:r w:rsidRPr="00266486">
        <w:rPr>
          <w:lang w:eastAsia="zh-TW"/>
        </w:rPr>
        <w:t xml:space="preserve">(Figure S33), which show comparisons between the rate regimes of any two terminals (taxa) in the phylogenetic tree by colored blocks, from red </w:t>
      </w:r>
      <w:r>
        <w:rPr>
          <w:lang w:eastAsia="zh-TW"/>
        </w:rPr>
        <w:t>(</w:t>
      </w:r>
      <w:r w:rsidRPr="00266486">
        <w:rPr>
          <w:lang w:eastAsia="zh-TW"/>
        </w:rPr>
        <w:t xml:space="preserve">identical rate regimes) to dark blue (different rate regimes). There are obvious differences between the diversification rates from the two algorithms for the supertribe Helianthodae (including the two possible rate shifts at the </w:t>
      </w:r>
      <w:r w:rsidRPr="00266486">
        <w:t>Heliantheae</w:t>
      </w:r>
      <w:r w:rsidRPr="00266486">
        <w:rPr>
          <w:lang w:eastAsia="zh-TW"/>
        </w:rPr>
        <w:t xml:space="preserve"> alliance and Eupatorieae). The differences </w:t>
      </w:r>
      <w:r>
        <w:rPr>
          <w:lang w:eastAsia="zh-TW"/>
        </w:rPr>
        <w:t>are the greatest among</w:t>
      </w:r>
      <w:r w:rsidRPr="00266486">
        <w:rPr>
          <w:lang w:eastAsia="zh-TW"/>
        </w:rPr>
        <w:t xml:space="preserve"> the rate regimes of Helianthodae and </w:t>
      </w:r>
      <w:r>
        <w:rPr>
          <w:lang w:eastAsia="zh-TW"/>
        </w:rPr>
        <w:t xml:space="preserve">some </w:t>
      </w:r>
      <w:r w:rsidRPr="00266486">
        <w:rPr>
          <w:lang w:eastAsia="zh-TW"/>
        </w:rPr>
        <w:t>clades in</w:t>
      </w:r>
      <w:r w:rsidRPr="00266486">
        <w:t xml:space="preserve"> Asteroideae-Dicomeae</w:t>
      </w:r>
      <w:r>
        <w:t xml:space="preserve"> (those with blue branches in </w:t>
      </w:r>
      <w:r w:rsidRPr="00266486">
        <w:rPr>
          <w:lang w:eastAsia="zh-TW"/>
        </w:rPr>
        <w:t>Figure S33</w:t>
      </w:r>
      <w:r>
        <w:t>)</w:t>
      </w:r>
      <w:r w:rsidRPr="00266486">
        <w:t xml:space="preserve">, which were </w:t>
      </w:r>
      <w:r w:rsidRPr="00266486">
        <w:rPr>
          <w:lang w:eastAsia="zh-TW"/>
        </w:rPr>
        <w:t xml:space="preserve">different </w:t>
      </w:r>
      <w:r>
        <w:rPr>
          <w:lang w:eastAsia="zh-TW"/>
        </w:rPr>
        <w:t>from analysis using the</w:t>
      </w:r>
      <w:r w:rsidRPr="00266486">
        <w:rPr>
          <w:lang w:eastAsia="zh-TW"/>
        </w:rPr>
        <w:t xml:space="preserve"> time-constant algorithm (light blue in a) but were similar </w:t>
      </w:r>
      <w:r>
        <w:rPr>
          <w:lang w:eastAsia="zh-TW"/>
        </w:rPr>
        <w:t>to analysis using the</w:t>
      </w:r>
      <w:r w:rsidRPr="00266486">
        <w:rPr>
          <w:lang w:eastAsia="zh-TW"/>
        </w:rPr>
        <w:t xml:space="preserve"> time-variable algorithm (orange red in b). Second, </w:t>
      </w:r>
      <w:r>
        <w:rPr>
          <w:lang w:eastAsia="zh-TW"/>
        </w:rPr>
        <w:t xml:space="preserve">we estimated </w:t>
      </w:r>
      <w:r w:rsidRPr="00016492">
        <w:rPr>
          <w:lang w:eastAsia="zh-TW"/>
        </w:rPr>
        <w:t>the posterior probabilities</w:t>
      </w:r>
      <w:r>
        <w:rPr>
          <w:lang w:eastAsia="zh-TW"/>
        </w:rPr>
        <w:t>, which</w:t>
      </w:r>
      <w:r w:rsidRPr="00532FB8">
        <w:rPr>
          <w:lang w:eastAsia="zh-TW"/>
        </w:rPr>
        <w:t xml:space="preserve"> </w:t>
      </w:r>
      <w:r>
        <w:rPr>
          <w:lang w:eastAsia="zh-TW"/>
        </w:rPr>
        <w:t>are essentially</w:t>
      </w:r>
      <w:r w:rsidRPr="00016492">
        <w:rPr>
          <w:lang w:eastAsia="zh-TW"/>
        </w:rPr>
        <w:t xml:space="preserve"> the </w:t>
      </w:r>
      <w:r>
        <w:rPr>
          <w:lang w:eastAsia="zh-TW"/>
        </w:rPr>
        <w:t>percentage of</w:t>
      </w:r>
      <w:r w:rsidRPr="00C628C6">
        <w:rPr>
          <w:lang w:eastAsia="zh-TW"/>
        </w:rPr>
        <w:t xml:space="preserve"> the </w:t>
      </w:r>
      <w:r w:rsidRPr="00016492">
        <w:rPr>
          <w:lang w:eastAsia="zh-TW"/>
        </w:rPr>
        <w:t xml:space="preserve">number of macroevolutionary rate regimes </w:t>
      </w:r>
      <w:r>
        <w:rPr>
          <w:lang w:eastAsia="zh-TW"/>
        </w:rPr>
        <w:t>with a specific</w:t>
      </w:r>
      <w:r w:rsidRPr="00C628C6">
        <w:rPr>
          <w:lang w:eastAsia="zh-TW"/>
        </w:rPr>
        <w:t xml:space="preserve"> number of rate shifts</w:t>
      </w:r>
      <w:r>
        <w:rPr>
          <w:lang w:eastAsia="zh-TW"/>
        </w:rPr>
        <w:t xml:space="preserve"> among all possible rate regimes,</w:t>
      </w:r>
      <w:r w:rsidRPr="00016492">
        <w:rPr>
          <w:lang w:eastAsia="zh-TW"/>
        </w:rPr>
        <w:t xml:space="preserve"> </w:t>
      </w:r>
      <w:r>
        <w:rPr>
          <w:lang w:eastAsia="zh-TW"/>
        </w:rPr>
        <w:t>in the context of</w:t>
      </w:r>
      <w:r w:rsidRPr="00016492">
        <w:rPr>
          <w:lang w:eastAsia="zh-TW"/>
        </w:rPr>
        <w:t xml:space="preserve"> our phylogenetic tree.</w:t>
      </w:r>
      <w:r w:rsidRPr="00266486">
        <w:rPr>
          <w:lang w:eastAsia="zh-TW"/>
        </w:rPr>
        <w:t xml:space="preserve"> The distribution of posterior probabilities in our analysis (Figure S32A) </w:t>
      </w:r>
      <w:r>
        <w:rPr>
          <w:lang w:eastAsia="zh-TW"/>
        </w:rPr>
        <w:t>indicated</w:t>
      </w:r>
      <w:r w:rsidRPr="00266486">
        <w:rPr>
          <w:lang w:eastAsia="zh-TW"/>
        </w:rPr>
        <w:t xml:space="preserve"> the time-variable algorithm favors a three-shift model whereas the time-constant algorithm prefers five shifts with highest probability. For the time-constant algorithm,</w:t>
      </w:r>
      <w:r>
        <w:rPr>
          <w:lang w:eastAsia="zh-TW"/>
        </w:rPr>
        <w:t xml:space="preserve"> even</w:t>
      </w:r>
      <w:r w:rsidRPr="00266486">
        <w:rPr>
          <w:lang w:eastAsia="zh-TW"/>
        </w:rPr>
        <w:t xml:space="preserve"> </w:t>
      </w:r>
      <w:r>
        <w:rPr>
          <w:lang w:eastAsia="zh-TW"/>
        </w:rPr>
        <w:t>six</w:t>
      </w:r>
      <w:r w:rsidRPr="00266486">
        <w:rPr>
          <w:lang w:eastAsia="zh-TW"/>
        </w:rPr>
        <w:t xml:space="preserve">- to eight-shift models also have very high values of pairwise Bayes factors for all shift models (Figure S32B). </w:t>
      </w:r>
    </w:p>
    <w:p w:rsidR="00EA1186" w:rsidRPr="00266486" w:rsidRDefault="00EA1186" w:rsidP="00EA1186">
      <w:pPr>
        <w:spacing w:after="180" w:line="340" w:lineRule="exact"/>
        <w:ind w:firstLine="420"/>
        <w:jc w:val="both"/>
        <w:rPr>
          <w:color w:val="000000" w:themeColor="text1"/>
          <w:lang w:eastAsia="zh-TW"/>
        </w:rPr>
      </w:pPr>
      <w:r w:rsidRPr="00266486">
        <w:rPr>
          <w:color w:val="000000" w:themeColor="text1"/>
          <w:lang w:eastAsia="zh-TW"/>
        </w:rPr>
        <w:t xml:space="preserve">Third, we then further </w:t>
      </w:r>
      <w:r>
        <w:rPr>
          <w:color w:val="000000" w:themeColor="text1"/>
          <w:lang w:eastAsia="zh-TW"/>
        </w:rPr>
        <w:t>determined</w:t>
      </w:r>
      <w:r w:rsidRPr="00266486">
        <w:rPr>
          <w:color w:val="000000" w:themeColor="text1"/>
          <w:lang w:eastAsia="zh-TW"/>
        </w:rPr>
        <w:t xml:space="preserve"> the frequencies </w:t>
      </w:r>
      <w:r>
        <w:rPr>
          <w:color w:val="000000" w:themeColor="text1"/>
          <w:lang w:eastAsia="zh-TW"/>
        </w:rPr>
        <w:t>that a particular</w:t>
      </w:r>
      <w:r w:rsidRPr="00266486">
        <w:rPr>
          <w:color w:val="000000" w:themeColor="text1"/>
          <w:lang w:eastAsia="zh-TW"/>
        </w:rPr>
        <w:t xml:space="preserve"> node w</w:t>
      </w:r>
      <w:r>
        <w:rPr>
          <w:color w:val="000000" w:themeColor="text1"/>
          <w:lang w:eastAsia="zh-TW"/>
        </w:rPr>
        <w:t>as</w:t>
      </w:r>
      <w:r w:rsidRPr="00266486">
        <w:rPr>
          <w:color w:val="000000" w:themeColor="text1"/>
          <w:lang w:eastAsia="zh-TW"/>
        </w:rPr>
        <w:t xml:space="preserve"> </w:t>
      </w:r>
      <w:r>
        <w:rPr>
          <w:color w:val="000000" w:themeColor="text1"/>
          <w:lang w:eastAsia="zh-TW"/>
        </w:rPr>
        <w:t>indicated</w:t>
      </w:r>
      <w:r w:rsidRPr="00266486">
        <w:rPr>
          <w:color w:val="000000" w:themeColor="text1"/>
          <w:lang w:eastAsia="zh-TW"/>
        </w:rPr>
        <w:t xml:space="preserve"> to have rate shift in all the credible sets of shift configurations</w:t>
      </w:r>
      <w:r>
        <w:rPr>
          <w:color w:val="000000" w:themeColor="text1"/>
          <w:lang w:eastAsia="zh-TW"/>
        </w:rPr>
        <w:t xml:space="preserve"> (as indicated by the </w:t>
      </w:r>
      <w:r w:rsidRPr="00266486">
        <w:rPr>
          <w:lang w:eastAsia="zh-TW"/>
        </w:rPr>
        <w:t>time-constant algorithm</w:t>
      </w:r>
      <w:r>
        <w:rPr>
          <w:color w:val="000000" w:themeColor="text1"/>
          <w:lang w:eastAsia="zh-TW"/>
        </w:rPr>
        <w:t xml:space="preserve"> of BAMM)</w:t>
      </w:r>
      <w:r w:rsidRPr="00266486">
        <w:rPr>
          <w:color w:val="000000" w:themeColor="text1"/>
          <w:lang w:eastAsia="zh-TW"/>
        </w:rPr>
        <w:t xml:space="preserve"> showing five- to eight-shifts </w:t>
      </w:r>
      <w:r w:rsidRPr="00266486">
        <w:rPr>
          <w:lang w:eastAsia="zh-TW"/>
        </w:rPr>
        <w:t xml:space="preserve">(Figure S32C). We found that </w:t>
      </w:r>
      <w:r>
        <w:rPr>
          <w:lang w:eastAsia="zh-TW"/>
        </w:rPr>
        <w:t>a number of</w:t>
      </w:r>
      <w:r w:rsidRPr="00266486">
        <w:rPr>
          <w:lang w:eastAsia="zh-TW"/>
        </w:rPr>
        <w:t xml:space="preserve"> nodes with high frequencies can be classified into five groups of successive nodes: the Vernonioid clade and the next smaller clade (nodes 321/331 as shown in Figure S34), core-Cardueae and the next smaller clade (nodes 297/298), core-Astereae (nodes 475/476/477), Heliantheae alliance and two successively larger clades (nodes 350/359/360), Eupatorieae and successive subclades (nodes 421/422/423/424/426/427) </w:t>
      </w:r>
      <w:r w:rsidRPr="00266486">
        <w:rPr>
          <w:lang w:eastAsia="zh-TW"/>
        </w:rPr>
        <w:lastRenderedPageBreak/>
        <w:t>(node identities can be found in Figure S34). The patterns of the credible shift configuration sets (Figure S32D) by time-constant algorithm agrees with the MEDUSA result described above; other than the three positions illustrated in the best shift configuration (Figure S30), the other two shifts are at (1)</w:t>
      </w:r>
      <w:r w:rsidRPr="00266486">
        <w:rPr>
          <w:color w:val="000000" w:themeColor="text1"/>
          <w:lang w:eastAsia="zh-TW"/>
        </w:rPr>
        <w:t xml:space="preserve"> the Heliantheae alliance clade (node 360) and may include Athroismeae (node 359) even Inuleae (node 350) (Figure 3, possible shift position 4), and (2) the tribe Eupatorieae or its subclades </w:t>
      </w:r>
      <w:r w:rsidRPr="00266486">
        <w:rPr>
          <w:lang w:eastAsia="zh-TW"/>
        </w:rPr>
        <w:t>(nodes 421/422/423/424/426/427)</w:t>
      </w:r>
      <w:r w:rsidRPr="00266486">
        <w:rPr>
          <w:color w:val="000000" w:themeColor="text1"/>
          <w:lang w:eastAsia="zh-TW"/>
        </w:rPr>
        <w:t xml:space="preserve"> (Figure 3, possible shift position 3). </w:t>
      </w:r>
    </w:p>
    <w:p w:rsidR="00EA1186" w:rsidRPr="00266486" w:rsidRDefault="00EA1186" w:rsidP="00EA1186">
      <w:pPr>
        <w:spacing w:after="180" w:line="340" w:lineRule="exact"/>
        <w:ind w:firstLine="420"/>
        <w:jc w:val="both"/>
        <w:rPr>
          <w:lang w:eastAsia="zh-TW"/>
        </w:rPr>
      </w:pPr>
      <w:r w:rsidRPr="00266486">
        <w:rPr>
          <w:lang w:eastAsia="zh-TW"/>
        </w:rPr>
        <w:t xml:space="preserve">The above results of distribution of possible rate shifts among two or more closely positioned nodes on the phylogenetic tree could provide an explanation for the different numbers of rate shifts indicated by the </w:t>
      </w:r>
      <w:r w:rsidRPr="00A16FE1">
        <w:rPr>
          <w:lang w:eastAsia="zh-TW"/>
        </w:rPr>
        <w:t>maximum a posteriori probability</w:t>
      </w:r>
      <w:r w:rsidRPr="00266486" w:rsidDel="00B743DD">
        <w:rPr>
          <w:lang w:eastAsia="zh-TW"/>
        </w:rPr>
        <w:t xml:space="preserve"> </w:t>
      </w:r>
      <w:r w:rsidRPr="00266486">
        <w:rPr>
          <w:lang w:eastAsia="zh-TW"/>
        </w:rPr>
        <w:t xml:space="preserve">(MAP) configuration (three shifts; Figure S30) and posterior distribution (five shifts; Figure S32A) by the time-constant algorithm. Distributing detections of shifts on nearby nodes in different samples may attenuate the probability for a particular group to be identified as a core shift, as the frequencies are distributed to several nodes rather than one specific position. The dispersion in detecting shift nodes may be a real scenario that the diversification rates changes along several successive branches, or alternatively, may be due to other reasons such as the intensity of taxa samplings. </w:t>
      </w:r>
    </w:p>
    <w:p w:rsidR="00EA1186" w:rsidRPr="00266486" w:rsidRDefault="00EA1186" w:rsidP="00EA1186">
      <w:pPr>
        <w:spacing w:after="180" w:line="340" w:lineRule="exact"/>
        <w:ind w:firstLine="420"/>
        <w:jc w:val="both"/>
        <w:rPr>
          <w:color w:val="000000" w:themeColor="text1"/>
          <w:lang w:eastAsia="zh-TW"/>
        </w:rPr>
      </w:pPr>
      <w:r w:rsidRPr="00266486">
        <w:rPr>
          <w:color w:val="000000" w:themeColor="text1"/>
        </w:rPr>
        <w:t>The</w:t>
      </w:r>
      <w:r w:rsidRPr="00266486">
        <w:rPr>
          <w:color w:val="000000" w:themeColor="text1"/>
          <w:lang w:eastAsia="zh-TW"/>
        </w:rPr>
        <w:t xml:space="preserve"> current result</w:t>
      </w:r>
      <w:r w:rsidRPr="00266486">
        <w:rPr>
          <w:color w:val="000000" w:themeColor="text1"/>
        </w:rPr>
        <w:t>s</w:t>
      </w:r>
      <w:r w:rsidRPr="00266486">
        <w:rPr>
          <w:color w:val="000000" w:themeColor="text1"/>
          <w:lang w:eastAsia="zh-TW"/>
        </w:rPr>
        <w:t xml:space="preserve"> also agree</w:t>
      </w:r>
      <w:r w:rsidRPr="00266486">
        <w:rPr>
          <w:color w:val="000000" w:themeColor="text1"/>
        </w:rPr>
        <w:t xml:space="preserve"> with</w:t>
      </w:r>
      <w:r w:rsidRPr="00266486">
        <w:rPr>
          <w:color w:val="000000" w:themeColor="text1"/>
          <w:lang w:eastAsia="zh-TW"/>
        </w:rPr>
        <w:t xml:space="preserve"> our </w:t>
      </w:r>
      <w:r>
        <w:rPr>
          <w:color w:val="000000" w:themeColor="text1"/>
          <w:lang w:eastAsia="zh-TW"/>
        </w:rPr>
        <w:t>previous</w:t>
      </w:r>
      <w:r w:rsidRPr="00266486">
        <w:rPr>
          <w:color w:val="000000" w:themeColor="text1"/>
          <w:lang w:eastAsia="zh-TW"/>
        </w:rPr>
        <w:t xml:space="preserve"> study with fewer samplings </w:t>
      </w:r>
      <w:r>
        <w:rPr>
          <w:noProof/>
          <w:color w:val="000000" w:themeColor="text1"/>
          <w:lang w:eastAsia="zh-TW"/>
        </w:rPr>
        <w:t>(Huang et al., 2016b)</w:t>
      </w:r>
      <w:r w:rsidRPr="00266486">
        <w:rPr>
          <w:color w:val="000000" w:themeColor="text1"/>
        </w:rPr>
        <w:t>, which</w:t>
      </w:r>
      <w:r w:rsidRPr="00266486">
        <w:rPr>
          <w:color w:val="000000" w:themeColor="text1"/>
          <w:lang w:eastAsia="zh-TW"/>
        </w:rPr>
        <w:t xml:space="preserve"> </w:t>
      </w:r>
      <w:r w:rsidRPr="00266486">
        <w:rPr>
          <w:color w:val="000000" w:themeColor="text1"/>
        </w:rPr>
        <w:t>treated</w:t>
      </w:r>
      <w:r w:rsidRPr="00266486">
        <w:rPr>
          <w:color w:val="000000" w:themeColor="text1"/>
          <w:lang w:eastAsia="zh-TW"/>
        </w:rPr>
        <w:t xml:space="preserve"> the </w:t>
      </w:r>
      <w:r w:rsidRPr="00266486">
        <w:rPr>
          <w:color w:val="000000" w:themeColor="text1"/>
        </w:rPr>
        <w:t>missing</w:t>
      </w:r>
      <w:r w:rsidRPr="00266486">
        <w:rPr>
          <w:color w:val="000000" w:themeColor="text1"/>
          <w:lang w:eastAsia="zh-TW"/>
        </w:rPr>
        <w:t xml:space="preserve"> tribes as polytomous lineages to </w:t>
      </w:r>
      <w:r w:rsidRPr="00266486">
        <w:rPr>
          <w:color w:val="000000" w:themeColor="text1"/>
        </w:rPr>
        <w:t>include</w:t>
      </w:r>
      <w:r w:rsidRPr="00266486">
        <w:rPr>
          <w:color w:val="000000" w:themeColor="text1"/>
          <w:lang w:eastAsia="zh-TW"/>
        </w:rPr>
        <w:t xml:space="preserve"> the complete richness data of the family; therefore the </w:t>
      </w:r>
      <w:r w:rsidRPr="00266486">
        <w:rPr>
          <w:color w:val="000000" w:themeColor="text1"/>
        </w:rPr>
        <w:t xml:space="preserve">previous </w:t>
      </w:r>
      <w:r w:rsidRPr="00266486">
        <w:rPr>
          <w:color w:val="000000" w:themeColor="text1"/>
          <w:lang w:eastAsia="zh-TW"/>
        </w:rPr>
        <w:t>result</w:t>
      </w:r>
      <w:r w:rsidRPr="00266486">
        <w:rPr>
          <w:color w:val="000000" w:themeColor="text1"/>
        </w:rPr>
        <w:t>s</w:t>
      </w:r>
      <w:r w:rsidRPr="00266486">
        <w:rPr>
          <w:color w:val="000000" w:themeColor="text1"/>
          <w:lang w:eastAsia="zh-TW"/>
        </w:rPr>
        <w:t xml:space="preserve"> </w:t>
      </w:r>
      <w:r w:rsidRPr="00266486">
        <w:rPr>
          <w:color w:val="000000" w:themeColor="text1"/>
        </w:rPr>
        <w:t>should</w:t>
      </w:r>
      <w:r w:rsidRPr="00266486">
        <w:rPr>
          <w:color w:val="000000" w:themeColor="text1"/>
          <w:lang w:eastAsia="zh-TW"/>
        </w:rPr>
        <w:t xml:space="preserve"> be interpreted as the potential location</w:t>
      </w:r>
      <w:r w:rsidRPr="00266486">
        <w:rPr>
          <w:color w:val="000000" w:themeColor="text1"/>
        </w:rPr>
        <w:t>s</w:t>
      </w:r>
      <w:r w:rsidRPr="00266486">
        <w:rPr>
          <w:color w:val="000000" w:themeColor="text1"/>
          <w:lang w:eastAsia="zh-TW"/>
        </w:rPr>
        <w:t xml:space="preserve"> for shift</w:t>
      </w:r>
      <w:r w:rsidRPr="00266486">
        <w:rPr>
          <w:color w:val="000000" w:themeColor="text1"/>
        </w:rPr>
        <w:t>s</w:t>
      </w:r>
      <w:r w:rsidRPr="00266486">
        <w:rPr>
          <w:color w:val="000000" w:themeColor="text1"/>
          <w:lang w:eastAsia="zh-TW"/>
        </w:rPr>
        <w:t xml:space="preserve">. </w:t>
      </w:r>
      <w:r w:rsidRPr="00266486">
        <w:rPr>
          <w:color w:val="000000" w:themeColor="text1"/>
        </w:rPr>
        <w:t>In</w:t>
      </w:r>
      <w:r w:rsidRPr="00266486">
        <w:rPr>
          <w:color w:val="000000" w:themeColor="text1"/>
          <w:lang w:eastAsia="zh-TW"/>
        </w:rPr>
        <w:t xml:space="preserve"> such </w:t>
      </w:r>
      <w:r w:rsidRPr="00266486">
        <w:rPr>
          <w:color w:val="000000" w:themeColor="text1"/>
        </w:rPr>
        <w:t>a manner</w:t>
      </w:r>
      <w:r w:rsidRPr="00266486">
        <w:rPr>
          <w:color w:val="000000" w:themeColor="text1"/>
          <w:lang w:eastAsia="zh-TW"/>
        </w:rPr>
        <w:t xml:space="preserve">, </w:t>
      </w:r>
      <w:r>
        <w:rPr>
          <w:noProof/>
          <w:color w:val="000000" w:themeColor="text1"/>
          <w:lang w:eastAsia="zh-TW"/>
        </w:rPr>
        <w:t>Huang et al. (2016b</w:t>
      </w:r>
      <w:r>
        <w:rPr>
          <w:color w:val="000000" w:themeColor="text1"/>
          <w:lang w:eastAsia="zh-TW"/>
        </w:rPr>
        <w:t xml:space="preserve"> </w:t>
      </w:r>
      <w:r w:rsidRPr="00266486">
        <w:rPr>
          <w:color w:val="000000" w:themeColor="text1"/>
          <w:lang w:eastAsia="zh-TW"/>
        </w:rPr>
        <w:t>identified rate accelerations at node</w:t>
      </w:r>
      <w:r w:rsidRPr="00266486">
        <w:rPr>
          <w:color w:val="000000" w:themeColor="text1"/>
        </w:rPr>
        <w:t>s</w:t>
      </w:r>
      <w:r>
        <w:rPr>
          <w:color w:val="000000" w:themeColor="text1"/>
        </w:rPr>
        <w:t>, respectively,</w:t>
      </w:r>
      <w:r w:rsidRPr="00266486">
        <w:rPr>
          <w:color w:val="000000" w:themeColor="text1"/>
          <w:lang w:eastAsia="zh-TW"/>
        </w:rPr>
        <w:t xml:space="preserve"> leading to</w:t>
      </w:r>
      <w:r w:rsidRPr="00266486">
        <w:rPr>
          <w:color w:val="000000" w:themeColor="text1"/>
        </w:rPr>
        <w:t xml:space="preserve"> the</w:t>
      </w:r>
      <w:r w:rsidRPr="00266486">
        <w:rPr>
          <w:color w:val="000000" w:themeColor="text1"/>
          <w:lang w:eastAsia="zh-TW"/>
        </w:rPr>
        <w:t xml:space="preserve"> [Carduoideae-Asteroideae] clade, a subclade containing several tribes of the Heliantheae alliance, and at</w:t>
      </w:r>
      <w:r w:rsidRPr="00266486">
        <w:rPr>
          <w:color w:val="000000" w:themeColor="text1"/>
        </w:rPr>
        <w:t xml:space="preserve"> the</w:t>
      </w:r>
      <w:r w:rsidRPr="00266486">
        <w:rPr>
          <w:color w:val="000000" w:themeColor="text1"/>
          <w:lang w:eastAsia="zh-TW"/>
        </w:rPr>
        <w:t xml:space="preserve"> tribe Mutisieae. With the greatly increased taxon sampling </w:t>
      </w:r>
      <w:r w:rsidRPr="00266486">
        <w:rPr>
          <w:color w:val="000000" w:themeColor="text1"/>
        </w:rPr>
        <w:t>here</w:t>
      </w:r>
      <w:r w:rsidRPr="00266486">
        <w:rPr>
          <w:color w:val="000000" w:themeColor="text1"/>
          <w:lang w:eastAsia="zh-TW"/>
        </w:rPr>
        <w:t xml:space="preserve"> covering 41 tribes consisting of 99.9</w:t>
      </w:r>
      <w:r>
        <w:rPr>
          <w:color w:val="000000" w:themeColor="text1"/>
          <w:lang w:eastAsia="zh-TW"/>
        </w:rPr>
        <w:t>6</w:t>
      </w:r>
      <w:r w:rsidRPr="00266486">
        <w:rPr>
          <w:color w:val="000000" w:themeColor="text1"/>
          <w:lang w:eastAsia="zh-TW"/>
        </w:rPr>
        <w:t>% richness in Asteraceae [the 4 missing tribes</w:t>
      </w:r>
      <w:r w:rsidRPr="00266486">
        <w:rPr>
          <w:color w:val="000000" w:themeColor="text1"/>
        </w:rPr>
        <w:t xml:space="preserve"> </w:t>
      </w:r>
      <w:r w:rsidRPr="00266486">
        <w:rPr>
          <w:color w:val="000000" w:themeColor="text1"/>
          <w:lang w:eastAsia="zh-TW"/>
        </w:rPr>
        <w:t>Feddeeae (1 sp</w:t>
      </w:r>
      <w:r>
        <w:rPr>
          <w:color w:val="000000" w:themeColor="text1"/>
          <w:lang w:eastAsia="zh-TW"/>
        </w:rPr>
        <w:t>ecies</w:t>
      </w:r>
      <w:r w:rsidRPr="00266486">
        <w:rPr>
          <w:color w:val="000000" w:themeColor="text1"/>
          <w:lang w:eastAsia="zh-TW"/>
        </w:rPr>
        <w:t>), Moquinieae (2 sp</w:t>
      </w:r>
      <w:r>
        <w:rPr>
          <w:color w:val="000000" w:themeColor="text1"/>
          <w:lang w:eastAsia="zh-TW"/>
        </w:rPr>
        <w:t>ecies</w:t>
      </w:r>
      <w:r w:rsidRPr="00266486">
        <w:rPr>
          <w:color w:val="000000" w:themeColor="text1"/>
          <w:lang w:eastAsia="zh-TW"/>
        </w:rPr>
        <w:t>), Platycarpheae (3 sp</w:t>
      </w:r>
      <w:r>
        <w:rPr>
          <w:color w:val="000000" w:themeColor="text1"/>
          <w:lang w:eastAsia="zh-TW"/>
        </w:rPr>
        <w:t>ecies</w:t>
      </w:r>
      <w:r w:rsidRPr="00266486">
        <w:rPr>
          <w:color w:val="000000" w:themeColor="text1"/>
          <w:lang w:eastAsia="zh-TW"/>
        </w:rPr>
        <w:t>) and Eremothamneae (3 sp</w:t>
      </w:r>
      <w:r>
        <w:rPr>
          <w:color w:val="000000" w:themeColor="text1"/>
          <w:lang w:eastAsia="zh-TW"/>
        </w:rPr>
        <w:t>ecies</w:t>
      </w:r>
      <w:r w:rsidRPr="00266486">
        <w:rPr>
          <w:color w:val="000000" w:themeColor="text1"/>
          <w:lang w:eastAsia="zh-TW"/>
        </w:rPr>
        <w:t xml:space="preserve">) have only a total of 9 species], results here have greatly improved the identification of numbers and locations of diversification rate shifts. The rate shifts at the nodes for the Vernonioid and </w:t>
      </w:r>
      <w:r w:rsidRPr="00266486">
        <w:t>Helianthodae</w:t>
      </w:r>
      <w:r w:rsidRPr="00266486">
        <w:rPr>
          <w:color w:val="000000" w:themeColor="text1"/>
          <w:lang w:eastAsia="zh-TW"/>
        </w:rPr>
        <w:t xml:space="preserve">/Heliantheae alliance clades identified here likely correspond to formerly identified accelerations at the [Carduoideae-Asteroideae] clade and the subclade of Heliantheae alliance, with the differences in the precise positions likely due to the increased resolution here with greater taxon sampling. </w:t>
      </w:r>
    </w:p>
    <w:p w:rsidR="00EA1186" w:rsidRPr="00266486" w:rsidRDefault="00EA1186" w:rsidP="00EA1186">
      <w:pPr>
        <w:spacing w:after="180" w:line="340" w:lineRule="exact"/>
        <w:ind w:firstLine="420"/>
        <w:jc w:val="both"/>
        <w:rPr>
          <w:color w:val="000000" w:themeColor="text1"/>
          <w:lang w:eastAsia="zh-TW"/>
        </w:rPr>
      </w:pPr>
      <w:r w:rsidRPr="00266486">
        <w:rPr>
          <w:lang w:eastAsia="zh-TW"/>
        </w:rPr>
        <w:t xml:space="preserve">We have </w:t>
      </w:r>
      <w:r>
        <w:rPr>
          <w:lang w:eastAsia="zh-TW"/>
        </w:rPr>
        <w:t>performed additional analyses</w:t>
      </w:r>
      <w:r w:rsidRPr="00266486">
        <w:rPr>
          <w:lang w:eastAsia="zh-TW"/>
        </w:rPr>
        <w:t xml:space="preserve"> with up to one hundred million generations (data not shown), but the result was similar; in fact, the MCMC runs converged well with 10 million generations and the increase in generations showed no further improvement.</w:t>
      </w:r>
    </w:p>
    <w:p w:rsidR="00EA1186" w:rsidRPr="00266486" w:rsidRDefault="00EA1186" w:rsidP="00EA1186">
      <w:pPr>
        <w:spacing w:after="180" w:line="340" w:lineRule="exact"/>
        <w:ind w:firstLine="420"/>
        <w:jc w:val="both"/>
        <w:rPr>
          <w:lang w:eastAsia="zh-TW"/>
        </w:rPr>
      </w:pPr>
      <w:r w:rsidRPr="00266486">
        <w:rPr>
          <w:lang w:eastAsia="zh-TW"/>
        </w:rPr>
        <w:lastRenderedPageBreak/>
        <w:t>In this study we included almost all tribes in a total of 24</w:t>
      </w:r>
      <w:r>
        <w:rPr>
          <w:lang w:eastAsia="zh-TW"/>
        </w:rPr>
        <w:t>3</w:t>
      </w:r>
      <w:r w:rsidRPr="00266486">
        <w:rPr>
          <w:lang w:eastAsia="zh-TW"/>
        </w:rPr>
        <w:t xml:space="preserve"> species, but for a large family as Asteraceae, the taxa sampling at </w:t>
      </w:r>
      <w:r>
        <w:rPr>
          <w:lang w:eastAsia="zh-TW"/>
        </w:rPr>
        <w:t xml:space="preserve">the subtribe and </w:t>
      </w:r>
      <w:r w:rsidRPr="00266486">
        <w:rPr>
          <w:lang w:eastAsia="zh-TW"/>
        </w:rPr>
        <w:t>genus level</w:t>
      </w:r>
      <w:r>
        <w:rPr>
          <w:lang w:eastAsia="zh-TW"/>
        </w:rPr>
        <w:t>s</w:t>
      </w:r>
      <w:r w:rsidRPr="00266486">
        <w:rPr>
          <w:lang w:eastAsia="zh-TW"/>
        </w:rPr>
        <w:t xml:space="preserve"> are still low; this made us to use tribes as the unit of clades in the sampling fractions. Separation of some large tribes into smaller ones is feasible, but the potential biased effects of the choice of combining some specific genera to one clade rather than other genera are uncertain. It should also be noted that in BAMM, although the sampling fraction of backbone is sufficient in our tree, sampling fractions for some large clades were still low (</w:t>
      </w:r>
      <w:r w:rsidRPr="004C0230">
        <w:rPr>
          <w:lang w:eastAsia="zh-TW"/>
        </w:rPr>
        <w:t>Table S</w:t>
      </w:r>
      <w:r w:rsidRPr="004C0230">
        <w:rPr>
          <w:rFonts w:hint="eastAsia"/>
          <w:lang w:eastAsia="zh-TW"/>
        </w:rPr>
        <w:t>5</w:t>
      </w:r>
      <w:r w:rsidRPr="00266486">
        <w:rPr>
          <w:lang w:eastAsia="zh-TW"/>
        </w:rPr>
        <w:t>), and the effect of possible biases with these low percentages are still uncertain.</w:t>
      </w:r>
    </w:p>
    <w:p w:rsidR="00EA1186" w:rsidRPr="00266486" w:rsidRDefault="00EA1186" w:rsidP="00EA1186">
      <w:pPr>
        <w:spacing w:after="180" w:line="340" w:lineRule="exact"/>
        <w:ind w:firstLine="420"/>
        <w:jc w:val="both"/>
        <w:rPr>
          <w:color w:val="000000" w:themeColor="text1"/>
          <w:lang w:eastAsia="zh-TW"/>
        </w:rPr>
      </w:pPr>
      <w:r w:rsidRPr="00266486">
        <w:rPr>
          <w:lang w:eastAsia="zh-TW"/>
        </w:rPr>
        <w:t xml:space="preserve">The differences among the numbers of rate shift derived from analyses using MAP configuration (three shifts; Figure S30) and posterior distribution (five shifts; Figure S32A) by the time-constant algorithm may related to the five groups of successive nodes with varying but relatively high frequencies (Figure S32C). Distributing detections of shifts on nearby nodes may attenuate the probability for a particular node of a group to be identified as a core shift, as the frequencies are distributed to several nodes rather than one specific position. The dispersion in detecting shift nodes may be a real scenario that the diversification rates changes along several successive branches, or alternatively, may be due to other reasons such as the intensity of taxa samplings. </w:t>
      </w:r>
    </w:p>
    <w:p w:rsidR="00EA1186" w:rsidRPr="00266486" w:rsidRDefault="00EA1186" w:rsidP="00EA1186">
      <w:pPr>
        <w:spacing w:after="180" w:line="340" w:lineRule="exact"/>
        <w:jc w:val="both"/>
        <w:outlineLvl w:val="0"/>
        <w:rPr>
          <w:b/>
          <w:color w:val="000000" w:themeColor="text1"/>
          <w:lang w:eastAsia="zh-TW"/>
        </w:rPr>
      </w:pPr>
      <w:r>
        <w:rPr>
          <w:b/>
          <w:color w:val="000000" w:themeColor="text1"/>
        </w:rPr>
        <w:t>5</w:t>
      </w:r>
      <w:r w:rsidRPr="00266486">
        <w:rPr>
          <w:b/>
          <w:color w:val="000000" w:themeColor="text1"/>
        </w:rPr>
        <w:t>. Detection of multiple WGD events</w:t>
      </w:r>
    </w:p>
    <w:p w:rsidR="00EA1186" w:rsidRDefault="00EA1186" w:rsidP="00EA1186">
      <w:pPr>
        <w:spacing w:after="180" w:line="340" w:lineRule="exact"/>
        <w:ind w:firstLineChars="150" w:firstLine="360"/>
        <w:jc w:val="both"/>
        <w:rPr>
          <w:lang w:eastAsia="zh-TW"/>
        </w:rPr>
      </w:pPr>
      <w:r>
        <w:rPr>
          <w:lang w:eastAsia="zh-TW"/>
        </w:rPr>
        <w:t xml:space="preserve">To further examine the WGD results, we describe and discuss some more candidate WGDs </w:t>
      </w:r>
      <w:r w:rsidRPr="00B63CA3">
        <w:rPr>
          <w:lang w:eastAsia="zh-TW"/>
        </w:rPr>
        <w:t xml:space="preserve">here. Besides those WGDs </w:t>
      </w:r>
      <w:r>
        <w:rPr>
          <w:lang w:eastAsia="zh-TW"/>
        </w:rPr>
        <w:t>indicated</w:t>
      </w:r>
      <w:r w:rsidRPr="00B63CA3">
        <w:rPr>
          <w:lang w:eastAsia="zh-TW"/>
        </w:rPr>
        <w:t xml:space="preserve"> in Figure 4, there are 31 other candidate </w:t>
      </w:r>
      <w:r w:rsidRPr="00D84ECC">
        <w:rPr>
          <w:lang w:eastAsia="zh-TW"/>
        </w:rPr>
        <w:t xml:space="preserve">WGDs </w:t>
      </w:r>
      <w:r w:rsidRPr="00B63CA3">
        <w:rPr>
          <w:lang w:eastAsia="zh-TW"/>
        </w:rPr>
        <w:t>with less supports (Fig</w:t>
      </w:r>
      <w:r>
        <w:rPr>
          <w:lang w:eastAsia="zh-TW"/>
        </w:rPr>
        <w:t>ure</w:t>
      </w:r>
      <w:r w:rsidRPr="00B63CA3">
        <w:rPr>
          <w:lang w:eastAsia="zh-TW"/>
        </w:rPr>
        <w:t xml:space="preserve"> S35).</w:t>
      </w:r>
      <w:r w:rsidRPr="00DA43AA">
        <w:rPr>
          <w:lang w:eastAsia="zh-TW"/>
        </w:rPr>
        <w:t xml:space="preserve"> </w:t>
      </w:r>
      <w:r w:rsidRPr="00266486">
        <w:rPr>
          <w:lang w:eastAsia="zh-TW"/>
        </w:rPr>
        <w:t xml:space="preserve">Only </w:t>
      </w:r>
      <w:r>
        <w:rPr>
          <w:lang w:eastAsia="zh-TW"/>
        </w:rPr>
        <w:t xml:space="preserve">those clusters </w:t>
      </w:r>
      <w:r w:rsidRPr="00266486">
        <w:rPr>
          <w:lang w:eastAsia="zh-TW"/>
        </w:rPr>
        <w:t>with</w:t>
      </w:r>
      <w:r>
        <w:rPr>
          <w:lang w:eastAsia="zh-TW"/>
        </w:rPr>
        <w:t xml:space="preserve"> &gt;400 </w:t>
      </w:r>
      <w:r w:rsidRPr="00266486">
        <w:rPr>
          <w:lang w:eastAsia="zh-TW"/>
        </w:rPr>
        <w:t>gene duplicate</w:t>
      </w:r>
      <w:r>
        <w:rPr>
          <w:lang w:eastAsia="zh-TW"/>
        </w:rPr>
        <w:t>s, which account for</w:t>
      </w:r>
      <w:r w:rsidRPr="00266486">
        <w:rPr>
          <w:lang w:eastAsia="zh-TW"/>
        </w:rPr>
        <w:t xml:space="preserve"> &gt; </w:t>
      </w:r>
      <w:r>
        <w:rPr>
          <w:lang w:eastAsia="zh-TW"/>
        </w:rPr>
        <w:t>10</w:t>
      </w:r>
      <w:r w:rsidRPr="00266486">
        <w:rPr>
          <w:lang w:eastAsia="zh-TW"/>
        </w:rPr>
        <w:t xml:space="preserve">% </w:t>
      </w:r>
      <w:r>
        <w:rPr>
          <w:lang w:eastAsia="zh-TW"/>
        </w:rPr>
        <w:t xml:space="preserve">of gene </w:t>
      </w:r>
      <w:r w:rsidRPr="00266486">
        <w:rPr>
          <w:lang w:eastAsia="zh-TW"/>
        </w:rPr>
        <w:t>families</w:t>
      </w:r>
      <w:r>
        <w:rPr>
          <w:lang w:eastAsia="zh-TW"/>
        </w:rPr>
        <w:t>, and &gt;40%</w:t>
      </w:r>
      <w:r w:rsidRPr="00266486">
        <w:rPr>
          <w:lang w:eastAsia="zh-TW"/>
        </w:rPr>
        <w:t xml:space="preserve"> </w:t>
      </w:r>
      <w:r>
        <w:rPr>
          <w:lang w:eastAsia="zh-TW"/>
        </w:rPr>
        <w:t xml:space="preserve">of the detected GDs are type I ratio </w:t>
      </w:r>
      <w:r w:rsidRPr="00266486">
        <w:rPr>
          <w:lang w:eastAsia="zh-TW"/>
        </w:rPr>
        <w:t xml:space="preserve">were </w:t>
      </w:r>
      <w:r>
        <w:rPr>
          <w:lang w:eastAsia="zh-TW"/>
        </w:rPr>
        <w:t>considered as strong enough evidence for WGD and show</w:t>
      </w:r>
      <w:r w:rsidRPr="00266486">
        <w:rPr>
          <w:lang w:eastAsia="zh-TW"/>
        </w:rPr>
        <w:t xml:space="preserve"> in Figure </w:t>
      </w:r>
      <w:r>
        <w:rPr>
          <w:lang w:eastAsia="zh-TW"/>
        </w:rPr>
        <w:t>4</w:t>
      </w:r>
      <w:r w:rsidRPr="00266486">
        <w:rPr>
          <w:lang w:eastAsia="zh-TW"/>
        </w:rPr>
        <w:t>.</w:t>
      </w:r>
      <w:r>
        <w:rPr>
          <w:lang w:eastAsia="zh-TW"/>
        </w:rPr>
        <w:t xml:space="preserve"> WGD3 was an exception which has only 301 GDs (thus considered a candidate WGD), but shown in Figure 4 to compare with WGD4. In addition, other clusters were considered as evidence for candidate WGDs, when 400&gt;GD #</w:t>
      </w:r>
      <w:r w:rsidRPr="00266486">
        <w:rPr>
          <w:lang w:eastAsia="zh-TW"/>
        </w:rPr>
        <w:t xml:space="preserve"> </w:t>
      </w:r>
      <w:r>
        <w:rPr>
          <w:lang w:eastAsia="zh-TW"/>
        </w:rPr>
        <w:t xml:space="preserve">&gt;200 and the GD # was </w:t>
      </w:r>
      <w:r w:rsidRPr="00266486">
        <w:rPr>
          <w:lang w:eastAsia="zh-TW"/>
        </w:rPr>
        <w:t xml:space="preserve">&gt; </w:t>
      </w:r>
      <w:r>
        <w:rPr>
          <w:lang w:eastAsia="zh-TW"/>
        </w:rPr>
        <w:t>5</w:t>
      </w:r>
      <w:r w:rsidRPr="00266486">
        <w:rPr>
          <w:lang w:eastAsia="zh-TW"/>
        </w:rPr>
        <w:t xml:space="preserve">% </w:t>
      </w:r>
      <w:r>
        <w:rPr>
          <w:lang w:eastAsia="zh-TW"/>
        </w:rPr>
        <w:t>of the</w:t>
      </w:r>
      <w:r w:rsidRPr="00266486">
        <w:rPr>
          <w:lang w:eastAsia="zh-TW"/>
        </w:rPr>
        <w:t xml:space="preserve"> gene families</w:t>
      </w:r>
      <w:r>
        <w:rPr>
          <w:lang w:eastAsia="zh-TW"/>
        </w:rPr>
        <w:t xml:space="preserve">. For those nodes with only two species, more stringent criteria were employed, (1) the two species need to be from different genera, and (2) GD # &gt;400 and &gt;5% of gene families. Using these criteria, we detected evidence for 31 candidate WGDs (Figure S35), in addition to the 10 shown in Figure 4. For convenience, the word “candidate” is omitted in the paragraphs below. </w:t>
      </w:r>
    </w:p>
    <w:p w:rsidR="00EA1186" w:rsidRDefault="00EA1186" w:rsidP="00EA1186">
      <w:pPr>
        <w:spacing w:after="180" w:line="340" w:lineRule="exact"/>
        <w:ind w:firstLineChars="150" w:firstLine="360"/>
        <w:jc w:val="both"/>
        <w:rPr>
          <w:lang w:eastAsia="zh-TW"/>
        </w:rPr>
      </w:pPr>
      <w:r>
        <w:rPr>
          <w:lang w:eastAsia="zh-TW"/>
        </w:rPr>
        <w:t>In</w:t>
      </w:r>
      <w:r w:rsidRPr="00266486">
        <w:rPr>
          <w:lang w:eastAsia="zh-TW"/>
        </w:rPr>
        <w:t xml:space="preserve"> Asteroideae</w:t>
      </w:r>
      <w:r>
        <w:rPr>
          <w:lang w:eastAsia="zh-TW"/>
        </w:rPr>
        <w:t xml:space="preserve">, other than WGD3/4 shown in Figure 4, 10 other WGDs were detected in the supertribe Helianthodae (MRCA of Eupatorieae and Inuleae), including one within Heliantheae with 241 GDs (5.18% of </w:t>
      </w:r>
      <w:r w:rsidRPr="00266486">
        <w:rPr>
          <w:lang w:eastAsia="zh-TW"/>
        </w:rPr>
        <w:t>gene families</w:t>
      </w:r>
      <w:r>
        <w:rPr>
          <w:lang w:eastAsia="zh-TW"/>
        </w:rPr>
        <w:t>)</w:t>
      </w:r>
      <w:r w:rsidRPr="00266486">
        <w:rPr>
          <w:lang w:eastAsia="zh-TW"/>
        </w:rPr>
        <w:t xml:space="preserve"> at MRCA</w:t>
      </w:r>
      <w:r>
        <w:rPr>
          <w:lang w:eastAsia="zh-TW"/>
        </w:rPr>
        <w:t xml:space="preserve"> </w:t>
      </w:r>
      <w:r w:rsidRPr="00C4349B">
        <w:rPr>
          <w:i/>
          <w:iCs/>
          <w:lang w:eastAsia="zh-TW"/>
        </w:rPr>
        <w:t>Zinnia-Sanvitalia</w:t>
      </w:r>
      <w:r>
        <w:rPr>
          <w:i/>
          <w:iCs/>
          <w:lang w:eastAsia="zh-TW"/>
        </w:rPr>
        <w:t xml:space="preserve"> </w:t>
      </w:r>
      <w:r w:rsidRPr="00097AF9">
        <w:rPr>
          <w:lang w:eastAsia="zh-TW"/>
        </w:rPr>
        <w:t>(WGD11)</w:t>
      </w:r>
      <w:r>
        <w:rPr>
          <w:lang w:eastAsia="zh-TW"/>
        </w:rPr>
        <w:t xml:space="preserve">, </w:t>
      </w:r>
      <w:r w:rsidRPr="00266486">
        <w:rPr>
          <w:lang w:eastAsia="zh-TW"/>
        </w:rPr>
        <w:t>one in Inuleae with 3</w:t>
      </w:r>
      <w:r>
        <w:rPr>
          <w:lang w:eastAsia="zh-TW"/>
        </w:rPr>
        <w:t>28 GDs (6.74</w:t>
      </w:r>
      <w:r w:rsidRPr="00266486">
        <w:rPr>
          <w:lang w:eastAsia="zh-TW"/>
        </w:rPr>
        <w:t xml:space="preserve">% </w:t>
      </w:r>
      <w:r>
        <w:rPr>
          <w:lang w:eastAsia="zh-TW"/>
        </w:rPr>
        <w:t xml:space="preserve">of </w:t>
      </w:r>
      <w:r w:rsidRPr="00266486">
        <w:rPr>
          <w:lang w:eastAsia="zh-TW"/>
        </w:rPr>
        <w:t>gene families</w:t>
      </w:r>
      <w:r>
        <w:rPr>
          <w:lang w:eastAsia="zh-TW"/>
        </w:rPr>
        <w:t>)</w:t>
      </w:r>
      <w:r w:rsidRPr="00266486">
        <w:rPr>
          <w:lang w:eastAsia="zh-TW"/>
        </w:rPr>
        <w:t xml:space="preserve"> at MRCA </w:t>
      </w:r>
      <w:r w:rsidRPr="00266486">
        <w:rPr>
          <w:i/>
          <w:lang w:eastAsia="zh-TW"/>
        </w:rPr>
        <w:t>Karelinia</w:t>
      </w:r>
      <w:r w:rsidRPr="00266486">
        <w:rPr>
          <w:lang w:eastAsia="zh-TW"/>
        </w:rPr>
        <w:t>-</w:t>
      </w:r>
      <w:r w:rsidRPr="00266486">
        <w:rPr>
          <w:i/>
          <w:lang w:eastAsia="zh-TW"/>
        </w:rPr>
        <w:t>Laggera</w:t>
      </w:r>
      <w:r w:rsidRPr="00097AF9">
        <w:rPr>
          <w:iCs/>
          <w:lang w:eastAsia="zh-TW"/>
        </w:rPr>
        <w:t xml:space="preserve"> (WGD12)</w:t>
      </w:r>
      <w:r>
        <w:rPr>
          <w:lang w:eastAsia="zh-TW"/>
        </w:rPr>
        <w:t xml:space="preserve"> and</w:t>
      </w:r>
      <w:r w:rsidRPr="00266486">
        <w:rPr>
          <w:lang w:eastAsia="zh-TW"/>
        </w:rPr>
        <w:t xml:space="preserve"> </w:t>
      </w:r>
      <w:r>
        <w:rPr>
          <w:lang w:eastAsia="zh-TW"/>
        </w:rPr>
        <w:t xml:space="preserve">eight other WGDs (WGD 13-20), each shared by two species of different </w:t>
      </w:r>
      <w:r>
        <w:rPr>
          <w:lang w:eastAsia="zh-TW"/>
        </w:rPr>
        <w:lastRenderedPageBreak/>
        <w:t xml:space="preserve">genera (Figure S35). In the supertribe Asteroidae (MRCA of Astereae and Anthemideae), in addition to WGD9 and WGD10 already shown in Figure 4, WGD21 (270, 5.71%) and WGD22 (272, 6.03%) were near the crown node of Astereae; WGD23 (466, 9.47%, but with only 38% GD were Type I) were found at the crown node of </w:t>
      </w:r>
      <w:r w:rsidRPr="00266486">
        <w:rPr>
          <w:lang w:eastAsia="zh-TW"/>
        </w:rPr>
        <w:t>Gnaphalieae</w:t>
      </w:r>
      <w:r>
        <w:rPr>
          <w:lang w:eastAsia="zh-TW"/>
        </w:rPr>
        <w:t>. For</w:t>
      </w:r>
      <w:r w:rsidRPr="00266486">
        <w:rPr>
          <w:lang w:eastAsia="zh-TW"/>
        </w:rPr>
        <w:t xml:space="preserve"> the large tribe Senecioneae</w:t>
      </w:r>
      <w:r>
        <w:rPr>
          <w:lang w:eastAsia="zh-TW"/>
        </w:rPr>
        <w:t>, beside WGD8, there is</w:t>
      </w:r>
      <w:r w:rsidRPr="00266486">
        <w:rPr>
          <w:lang w:eastAsia="zh-TW"/>
        </w:rPr>
        <w:t xml:space="preserve"> </w:t>
      </w:r>
      <w:r>
        <w:rPr>
          <w:lang w:eastAsia="zh-TW"/>
        </w:rPr>
        <w:t>evidence for two</w:t>
      </w:r>
      <w:r w:rsidRPr="00266486">
        <w:rPr>
          <w:lang w:eastAsia="zh-TW"/>
        </w:rPr>
        <w:t xml:space="preserve"> WGDs</w:t>
      </w:r>
      <w:r>
        <w:rPr>
          <w:lang w:eastAsia="zh-TW"/>
        </w:rPr>
        <w:t xml:space="preserve"> shared by multiple genera, one</w:t>
      </w:r>
      <w:r w:rsidRPr="00266486">
        <w:rPr>
          <w:lang w:eastAsia="zh-TW"/>
        </w:rPr>
        <w:t xml:space="preserve"> at </w:t>
      </w:r>
      <w:r>
        <w:rPr>
          <w:lang w:eastAsia="zh-TW"/>
        </w:rPr>
        <w:t xml:space="preserve">MRCA </w:t>
      </w:r>
      <w:r w:rsidRPr="00097AF9">
        <w:rPr>
          <w:i/>
          <w:iCs/>
          <w:lang w:eastAsia="zh-TW"/>
        </w:rPr>
        <w:t>Senecio-Petasites</w:t>
      </w:r>
      <w:r>
        <w:rPr>
          <w:i/>
          <w:iCs/>
          <w:lang w:eastAsia="zh-TW"/>
        </w:rPr>
        <w:t xml:space="preserve"> </w:t>
      </w:r>
      <w:r>
        <w:rPr>
          <w:lang w:eastAsia="zh-TW"/>
        </w:rPr>
        <w:t>(283, 7.2%, WGD24),</w:t>
      </w:r>
      <w:r w:rsidRPr="00266486">
        <w:rPr>
          <w:lang w:eastAsia="zh-TW"/>
        </w:rPr>
        <w:t xml:space="preserve"> </w:t>
      </w:r>
      <w:r>
        <w:rPr>
          <w:lang w:eastAsia="zh-TW"/>
        </w:rPr>
        <w:t xml:space="preserve">and another at </w:t>
      </w:r>
      <w:r w:rsidRPr="00266486">
        <w:rPr>
          <w:lang w:eastAsia="zh-TW"/>
        </w:rPr>
        <w:t xml:space="preserve">MRCA </w:t>
      </w:r>
      <w:r w:rsidRPr="00266486">
        <w:rPr>
          <w:i/>
          <w:lang w:eastAsia="zh-TW"/>
        </w:rPr>
        <w:t>Ligularia</w:t>
      </w:r>
      <w:r w:rsidRPr="00266486">
        <w:rPr>
          <w:lang w:eastAsia="zh-TW"/>
        </w:rPr>
        <w:t>-</w:t>
      </w:r>
      <w:r w:rsidRPr="00266486">
        <w:rPr>
          <w:i/>
          <w:lang w:eastAsia="zh-TW"/>
        </w:rPr>
        <w:t>Petasites</w:t>
      </w:r>
      <w:r w:rsidRPr="00097AF9">
        <w:rPr>
          <w:iCs/>
          <w:lang w:eastAsia="zh-TW"/>
        </w:rPr>
        <w:t xml:space="preserve"> (</w:t>
      </w:r>
      <w:r>
        <w:rPr>
          <w:iCs/>
          <w:lang w:eastAsia="zh-TW"/>
        </w:rPr>
        <w:t>390, 9.04%, WGD25</w:t>
      </w:r>
      <w:r w:rsidRPr="00097AF9">
        <w:rPr>
          <w:iCs/>
          <w:lang w:eastAsia="zh-TW"/>
        </w:rPr>
        <w:t>)</w:t>
      </w:r>
      <w:r w:rsidRPr="00266486">
        <w:rPr>
          <w:lang w:eastAsia="zh-TW"/>
        </w:rPr>
        <w:t>.</w:t>
      </w:r>
      <w:r>
        <w:rPr>
          <w:lang w:eastAsia="zh-TW"/>
        </w:rPr>
        <w:t xml:space="preserve"> Furthermore, three other WGDs (WGD26-28) are each shared by two sampled species in Asterodae and Senecioneae. </w:t>
      </w:r>
    </w:p>
    <w:p w:rsidR="00EA1186" w:rsidRPr="00266486" w:rsidRDefault="00EA1186" w:rsidP="00EA1186">
      <w:pPr>
        <w:spacing w:after="180" w:line="340" w:lineRule="exact"/>
        <w:ind w:firstLine="425"/>
        <w:jc w:val="both"/>
        <w:rPr>
          <w:lang w:eastAsia="zh-TW"/>
        </w:rPr>
      </w:pPr>
      <w:r>
        <w:rPr>
          <w:lang w:eastAsia="zh-TW"/>
        </w:rPr>
        <w:t xml:space="preserve">In addition, there are three WGDs (210, 4.22% for WGD29; 203, 4.24% for WGD30 and one terminal node WGD31) in Cichorioideae. Gymnarhenoideae, which have only two sampled species here, share a WGD (1495, 32.37%; WGD32). Also, there are two </w:t>
      </w:r>
      <w:r w:rsidRPr="00266486">
        <w:rPr>
          <w:lang w:eastAsia="zh-TW"/>
        </w:rPr>
        <w:t>WGD</w:t>
      </w:r>
      <w:r>
        <w:rPr>
          <w:lang w:eastAsia="zh-TW"/>
        </w:rPr>
        <w:t>s</w:t>
      </w:r>
      <w:r w:rsidRPr="00266486">
        <w:rPr>
          <w:lang w:eastAsia="zh-TW"/>
        </w:rPr>
        <w:t xml:space="preserve"> within</w:t>
      </w:r>
      <w:r>
        <w:rPr>
          <w:lang w:eastAsia="zh-TW"/>
        </w:rPr>
        <w:t xml:space="preserve"> the</w:t>
      </w:r>
      <w:r w:rsidRPr="00266486">
        <w:rPr>
          <w:lang w:eastAsia="zh-TW"/>
        </w:rPr>
        <w:t xml:space="preserve"> tribe Cardueae, </w:t>
      </w:r>
      <w:r>
        <w:rPr>
          <w:lang w:eastAsia="zh-TW"/>
        </w:rPr>
        <w:t>one for the</w:t>
      </w:r>
      <w:r w:rsidRPr="00266486">
        <w:rPr>
          <w:lang w:eastAsia="zh-TW"/>
        </w:rPr>
        <w:t xml:space="preserve"> clade </w:t>
      </w:r>
      <w:r w:rsidRPr="00266486">
        <w:rPr>
          <w:i/>
          <w:lang w:eastAsia="zh-TW"/>
        </w:rPr>
        <w:t>Centaurea</w:t>
      </w:r>
      <w:r w:rsidRPr="00266486">
        <w:rPr>
          <w:lang w:eastAsia="zh-TW"/>
        </w:rPr>
        <w:t>-</w:t>
      </w:r>
      <w:r w:rsidRPr="00266486">
        <w:rPr>
          <w:i/>
          <w:lang w:eastAsia="zh-TW"/>
        </w:rPr>
        <w:t>Synurus</w:t>
      </w:r>
      <w:r w:rsidRPr="00266486">
        <w:rPr>
          <w:lang w:eastAsia="zh-TW"/>
        </w:rPr>
        <w:t xml:space="preserve"> </w:t>
      </w:r>
      <w:r>
        <w:rPr>
          <w:lang w:eastAsia="zh-TW"/>
        </w:rPr>
        <w:t>(281,</w:t>
      </w:r>
      <w:r w:rsidRPr="00266486">
        <w:rPr>
          <w:lang w:eastAsia="zh-TW"/>
        </w:rPr>
        <w:t xml:space="preserve"> </w:t>
      </w:r>
      <w:r>
        <w:rPr>
          <w:lang w:eastAsia="zh-TW"/>
        </w:rPr>
        <w:t>6</w:t>
      </w:r>
      <w:r w:rsidRPr="00266486">
        <w:rPr>
          <w:lang w:eastAsia="zh-TW"/>
        </w:rPr>
        <w:t>.</w:t>
      </w:r>
      <w:r>
        <w:rPr>
          <w:lang w:eastAsia="zh-TW"/>
        </w:rPr>
        <w:t>15</w:t>
      </w:r>
      <w:r w:rsidRPr="00266486">
        <w:rPr>
          <w:lang w:eastAsia="zh-TW"/>
        </w:rPr>
        <w:t>%</w:t>
      </w:r>
      <w:r>
        <w:rPr>
          <w:lang w:eastAsia="zh-TW"/>
        </w:rPr>
        <w:t>; WGD33), and the other one at a terminal node (WGD34)</w:t>
      </w:r>
      <w:r w:rsidRPr="00266486">
        <w:rPr>
          <w:lang w:eastAsia="zh-TW"/>
        </w:rPr>
        <w:t>.</w:t>
      </w:r>
      <w:r>
        <w:rPr>
          <w:lang w:eastAsia="zh-TW"/>
        </w:rPr>
        <w:t xml:space="preserve"> In Mutisioideae, besides WGD7, there are two other WGDs (WGD35 and WGD36). The tribe Hyalideae (Wunderlichioideae) have two: WGD37 and WGD38. A weak signal was detected for a possible WGD event (205, 5.43%, WGD39) at the ancestor of Asteraceae.</w:t>
      </w:r>
      <w:r>
        <w:rPr>
          <w:rFonts w:hint="eastAsia"/>
          <w:lang w:eastAsia="zh-TW"/>
        </w:rPr>
        <w:t xml:space="preserve"> </w:t>
      </w:r>
      <w:r>
        <w:rPr>
          <w:lang w:eastAsia="zh-TW"/>
        </w:rPr>
        <w:t xml:space="preserve">In Barnadesieae , there are two WGDs, one at the crown node of the Barnadesieae (311, 6,63%, WGD40), the other is at a terminal node (WGD41). </w:t>
      </w:r>
    </w:p>
    <w:p w:rsidR="00EA1186" w:rsidRPr="00266486" w:rsidRDefault="00EA1186" w:rsidP="00EA1186">
      <w:pPr>
        <w:tabs>
          <w:tab w:val="left" w:pos="5531"/>
        </w:tabs>
        <w:spacing w:after="180" w:line="340" w:lineRule="exact"/>
        <w:jc w:val="both"/>
        <w:rPr>
          <w:lang w:eastAsia="zh-TW"/>
        </w:rPr>
      </w:pPr>
      <w:r w:rsidRPr="00266486">
        <w:rPr>
          <w:lang w:eastAsia="zh-TW"/>
        </w:rPr>
        <w:t xml:space="preserve">    Comparing with our previous work </w:t>
      </w:r>
      <w:r>
        <w:rPr>
          <w:noProof/>
          <w:lang w:eastAsia="zh-TW"/>
        </w:rPr>
        <w:t>(Huang et al., 2016b)</w:t>
      </w:r>
      <w:r w:rsidRPr="00266486">
        <w:rPr>
          <w:lang w:eastAsia="zh-TW"/>
        </w:rPr>
        <w:t xml:space="preserve">, for the WGDs at nodes containing several terminals, the </w:t>
      </w:r>
      <w:r w:rsidRPr="00FC12E1">
        <w:rPr>
          <w:lang w:eastAsia="zh-TW"/>
        </w:rPr>
        <w:t>identified</w:t>
      </w:r>
      <w:r w:rsidRPr="00062EB0">
        <w:rPr>
          <w:lang w:eastAsia="zh-TW"/>
        </w:rPr>
        <w:t xml:space="preserve"> </w:t>
      </w:r>
      <w:r w:rsidRPr="00313430">
        <w:rPr>
          <w:lang w:eastAsia="zh-TW"/>
        </w:rPr>
        <w:t>WGDs</w:t>
      </w:r>
      <w:r w:rsidRPr="006D5F64">
        <w:rPr>
          <w:lang w:eastAsia="zh-TW"/>
        </w:rPr>
        <w:t xml:space="preserve"> </w:t>
      </w:r>
      <w:r w:rsidRPr="00B421B2">
        <w:rPr>
          <w:lang w:eastAsia="zh-TW"/>
        </w:rPr>
        <w:t>can als</w:t>
      </w:r>
      <w:r w:rsidRPr="00266486">
        <w:rPr>
          <w:lang w:eastAsia="zh-TW"/>
        </w:rPr>
        <w:t>o be found in this new analysis with increased samplings</w:t>
      </w:r>
      <w:r>
        <w:rPr>
          <w:lang w:eastAsia="zh-TW"/>
        </w:rPr>
        <w:t xml:space="preserve"> (WGD1, 2, 3, 4, 22, and 39). Moreover, we also propose several new WGDs (WGD11, 12, 23, 24, 32, 37, and 40) or provide revised </w:t>
      </w:r>
      <w:r>
        <w:rPr>
          <w:rFonts w:hint="eastAsia"/>
          <w:lang w:eastAsia="zh-TW"/>
        </w:rPr>
        <w:t>l</w:t>
      </w:r>
      <w:r>
        <w:rPr>
          <w:lang w:eastAsia="zh-TW"/>
        </w:rPr>
        <w:t>ocations (WGD21 and 25)</w:t>
      </w:r>
      <w:r w:rsidRPr="00266486">
        <w:rPr>
          <w:lang w:eastAsia="zh-TW"/>
        </w:rPr>
        <w:t>. On the contrary, potential events observed at nodes with few terminals (no more than three terminals) in the previous study are not consistent with current result</w:t>
      </w:r>
      <w:r>
        <w:rPr>
          <w:lang w:eastAsia="zh-TW"/>
        </w:rPr>
        <w:t xml:space="preserve"> (WGD number 6, 7, 8, 11, 12, 16, 17 in previous study);</w:t>
      </w:r>
      <w:r w:rsidRPr="00266486">
        <w:rPr>
          <w:lang w:eastAsia="zh-TW"/>
        </w:rPr>
        <w:t xml:space="preserve"> th</w:t>
      </w:r>
      <w:r>
        <w:rPr>
          <w:lang w:eastAsia="zh-TW"/>
        </w:rPr>
        <w:t>e</w:t>
      </w:r>
      <w:r w:rsidRPr="00266486">
        <w:rPr>
          <w:lang w:eastAsia="zh-TW"/>
        </w:rPr>
        <w:t xml:space="preserve">se </w:t>
      </w:r>
      <w:r>
        <w:rPr>
          <w:lang w:eastAsia="zh-TW"/>
        </w:rPr>
        <w:t>proposed events</w:t>
      </w:r>
      <w:r w:rsidRPr="00266486">
        <w:rPr>
          <w:lang w:eastAsia="zh-TW"/>
        </w:rPr>
        <w:t xml:space="preserve"> in </w:t>
      </w:r>
      <w:r>
        <w:rPr>
          <w:lang w:eastAsia="zh-TW"/>
        </w:rPr>
        <w:t xml:space="preserve">the </w:t>
      </w:r>
      <w:r w:rsidRPr="00266486">
        <w:rPr>
          <w:lang w:eastAsia="zh-TW"/>
        </w:rPr>
        <w:t xml:space="preserve">previous study </w:t>
      </w:r>
      <w:r>
        <w:rPr>
          <w:lang w:eastAsia="zh-TW"/>
        </w:rPr>
        <w:t>had relatively small numbers of</w:t>
      </w:r>
      <w:r w:rsidRPr="00266486">
        <w:rPr>
          <w:lang w:eastAsia="zh-TW"/>
        </w:rPr>
        <w:t xml:space="preserve"> gene duplications</w:t>
      </w:r>
      <w:r>
        <w:rPr>
          <w:lang w:eastAsia="zh-TW"/>
        </w:rPr>
        <w:t xml:space="preserve"> (61-219 GDs)</w:t>
      </w:r>
      <w:r w:rsidRPr="005D40D5">
        <w:rPr>
          <w:lang w:eastAsia="zh-TW"/>
        </w:rPr>
        <w:t>.</w:t>
      </w:r>
      <w:r w:rsidRPr="00266486">
        <w:rPr>
          <w:lang w:eastAsia="zh-TW"/>
        </w:rPr>
        <w:t xml:space="preserve"> </w:t>
      </w:r>
      <w:r>
        <w:rPr>
          <w:lang w:eastAsia="zh-TW"/>
        </w:rPr>
        <w:t xml:space="preserve">These differences suggest that the criteria for WGD events supported by few species need to be more stringent. </w:t>
      </w:r>
      <w:r w:rsidRPr="00266486">
        <w:rPr>
          <w:lang w:eastAsia="zh-TW"/>
        </w:rPr>
        <w:t xml:space="preserve">Thus, our two research results demonstrate the reliability of phylogenomic methods in identifying WGDs when the nodes contain </w:t>
      </w:r>
      <w:r>
        <w:rPr>
          <w:lang w:eastAsia="zh-TW"/>
        </w:rPr>
        <w:t>multiple</w:t>
      </w:r>
      <w:r w:rsidRPr="00266486">
        <w:rPr>
          <w:lang w:eastAsia="zh-TW"/>
        </w:rPr>
        <w:t xml:space="preserve"> species. Therefore, the GDs at nodes with few species in Pertyeae, Mutisieae, Barnadesieae and Calyceraceae could not yet be viewed as a signal of WGDs due to the </w:t>
      </w:r>
      <w:r>
        <w:rPr>
          <w:lang w:eastAsia="zh-TW"/>
        </w:rPr>
        <w:t>small of taxa sampled</w:t>
      </w:r>
      <w:r w:rsidRPr="00266486">
        <w:rPr>
          <w:lang w:eastAsia="zh-TW"/>
        </w:rPr>
        <w:t xml:space="preserve"> here and requires further analysis with </w:t>
      </w:r>
      <w:r>
        <w:rPr>
          <w:lang w:eastAsia="zh-TW"/>
        </w:rPr>
        <w:t>increased</w:t>
      </w:r>
      <w:r w:rsidRPr="00266486">
        <w:rPr>
          <w:lang w:eastAsia="zh-TW"/>
        </w:rPr>
        <w:t xml:space="preserve"> samplings.</w:t>
      </w:r>
    </w:p>
    <w:p w:rsidR="00EA1186" w:rsidRPr="00266486" w:rsidRDefault="00EA1186" w:rsidP="00EA1186">
      <w:pPr>
        <w:spacing w:after="180" w:line="340" w:lineRule="exact"/>
        <w:jc w:val="both"/>
        <w:rPr>
          <w:lang w:eastAsia="zh-TW"/>
        </w:rPr>
      </w:pPr>
    </w:p>
    <w:p w:rsidR="00EA1186" w:rsidRPr="00266486" w:rsidRDefault="00EA1186" w:rsidP="00EA1186">
      <w:pPr>
        <w:spacing w:after="180" w:line="340" w:lineRule="exact"/>
        <w:jc w:val="both"/>
        <w:outlineLvl w:val="0"/>
        <w:rPr>
          <w:b/>
          <w:color w:val="000000" w:themeColor="text1"/>
        </w:rPr>
      </w:pPr>
      <w:r>
        <w:rPr>
          <w:b/>
          <w:color w:val="000000" w:themeColor="text1"/>
        </w:rPr>
        <w:t>6</w:t>
      </w:r>
      <w:r w:rsidRPr="00266486">
        <w:rPr>
          <w:b/>
          <w:color w:val="000000" w:themeColor="text1"/>
        </w:rPr>
        <w:t>. Materials and Methods</w:t>
      </w:r>
      <w:r>
        <w:rPr>
          <w:b/>
          <w:color w:val="000000" w:themeColor="text1"/>
        </w:rPr>
        <w:t xml:space="preserve"> (Details)</w:t>
      </w:r>
    </w:p>
    <w:p w:rsidR="00EA1186" w:rsidRPr="00266486" w:rsidRDefault="00EA1186" w:rsidP="00EA1186">
      <w:pPr>
        <w:spacing w:after="180" w:line="340" w:lineRule="exact"/>
        <w:jc w:val="both"/>
        <w:rPr>
          <w:rFonts w:eastAsia="Times New Roman"/>
          <w:b/>
        </w:rPr>
      </w:pPr>
      <w:r w:rsidRPr="00266486">
        <w:rPr>
          <w:rFonts w:eastAsia="Times New Roman"/>
          <w:b/>
        </w:rPr>
        <w:t>Taxa sampling and sequencing</w:t>
      </w:r>
    </w:p>
    <w:p w:rsidR="00EA1186" w:rsidRPr="00266486" w:rsidRDefault="00EA1186" w:rsidP="00EA1186">
      <w:pPr>
        <w:spacing w:after="180" w:line="340" w:lineRule="exact"/>
        <w:ind w:firstLine="425"/>
        <w:jc w:val="both"/>
        <w:rPr>
          <w:rFonts w:eastAsia="Times New Roman"/>
        </w:rPr>
      </w:pPr>
      <w:r w:rsidRPr="00266486">
        <w:lastRenderedPageBreak/>
        <w:t xml:space="preserve">Information </w:t>
      </w:r>
      <w:r>
        <w:t>on</w:t>
      </w:r>
      <w:r w:rsidRPr="00266486">
        <w:t xml:space="preserve"> taxa included in this study </w:t>
      </w:r>
      <w:r>
        <w:t>is</w:t>
      </w:r>
      <w:r w:rsidRPr="00266486">
        <w:t xml:space="preserve"> listed in Table S1. The subfamilies and tribes are according to the classification proposed by </w:t>
      </w:r>
      <w:r>
        <w:rPr>
          <w:noProof/>
        </w:rPr>
        <w:t>Funk et al. (2009b</w:t>
      </w:r>
      <w:r w:rsidRPr="00266486">
        <w:t xml:space="preserve"> and </w:t>
      </w:r>
      <w:r>
        <w:rPr>
          <w:noProof/>
        </w:rPr>
        <w:t>Panero et al. (2014</w:t>
      </w:r>
      <w:r w:rsidRPr="00266486">
        <w:t>. For RNA sequencing of most taxa, tissues of fresh young leaves and/or flower buds were collected from fields or botanical gardens, then soaked in liquid nitrogen and kept in a -80 °</w:t>
      </w:r>
      <w:r w:rsidRPr="00071E13">
        <w:rPr>
          <w:rFonts w:eastAsia="PMingLiU"/>
          <w:lang w:eastAsia="zh-TW"/>
        </w:rPr>
        <w:t>C</w:t>
      </w:r>
      <w:r w:rsidRPr="00266486">
        <w:t xml:space="preserve"> freezer. For other taxa </w:t>
      </w:r>
      <w:r>
        <w:t>for which only</w:t>
      </w:r>
      <w:r w:rsidRPr="00266486">
        <w:t xml:space="preserve"> mature seeds</w:t>
      </w:r>
      <w:r>
        <w:t xml:space="preserve"> were available</w:t>
      </w:r>
      <w:r w:rsidRPr="00266486">
        <w:t xml:space="preserve">, seedlings or </w:t>
      </w:r>
      <w:r>
        <w:t xml:space="preserve">expanded </w:t>
      </w:r>
      <w:r w:rsidRPr="00266486">
        <w:t xml:space="preserve">achenes </w:t>
      </w:r>
      <w:r>
        <w:t>after incubation with water</w:t>
      </w:r>
      <w:r w:rsidRPr="00266486">
        <w:t xml:space="preserve"> were used for RNA extraction. Total RNA was extracted from or using the </w:t>
      </w:r>
      <w:r w:rsidRPr="00266486">
        <w:rPr>
          <w:rFonts w:eastAsia="Times New Roman"/>
        </w:rPr>
        <w:t>TRIzol (Invitrogen, Carlsbad, CA, USA)</w:t>
      </w:r>
      <w:r w:rsidRPr="00266486">
        <w:t xml:space="preserve"> or ZR Plant RNA MiniPrepTM kit (Zymo Research, Orange, CA, USA) under the guidance of manufactures. Paired-end sequencing of transcriptomes were performed with Illumina HiSeq2500 or HiSeq3000. Public transcriptomic raw data were downloaded from NCBI-SRA (http://www.ncbi.nlm.nih.gov/sra/?term=Asteraceae). Raw reads of transcriptomes were first trimmed using Trimmomatic-0.30 </w:t>
      </w:r>
      <w:r>
        <w:rPr>
          <w:noProof/>
        </w:rPr>
        <w:t>(Bolger et al., 2014)</w:t>
      </w:r>
      <w:r w:rsidRPr="00266486">
        <w:t xml:space="preserve"> and then </w:t>
      </w:r>
      <w:r w:rsidRPr="00266486">
        <w:rPr>
          <w:i/>
        </w:rPr>
        <w:t xml:space="preserve">de novo </w:t>
      </w:r>
      <w:r w:rsidRPr="00266486">
        <w:t xml:space="preserve">assembled using Trinity v2013-11-10 </w:t>
      </w:r>
      <w:r>
        <w:rPr>
          <w:noProof/>
        </w:rPr>
        <w:t>(Grabherr et al., 2011)</w:t>
      </w:r>
      <w:r w:rsidRPr="00266486">
        <w:t xml:space="preserve"> with default settings. Public EST data were downloaded from NCBI-EST (http://www.ncbi.nlm.nih.gov/nucest/?term=Asteraceae) and cDNA assemblies were downloaded from Compositae Genome Project (CGP) website (</w:t>
      </w:r>
      <w:r w:rsidRPr="00266486">
        <w:rPr>
          <w:rFonts w:eastAsia="宋体"/>
        </w:rPr>
        <w:t>http://compgenomics.ucdavis.edu/cgp_wd_assemblies.php#114280)</w:t>
      </w:r>
      <w:r w:rsidRPr="00266486">
        <w:rPr>
          <w:rFonts w:eastAsia="宋体"/>
          <w:color w:val="000000"/>
        </w:rPr>
        <w:t>. Total DNA was isolated from dry leaf tissues or specimen portions using the CTAB extraction method for genome sequencing. Genom</w:t>
      </w:r>
      <w:r>
        <w:rPr>
          <w:rFonts w:eastAsia="宋体"/>
          <w:color w:val="000000"/>
        </w:rPr>
        <w:t>ic</w:t>
      </w:r>
      <w:r w:rsidRPr="00266486">
        <w:rPr>
          <w:rFonts w:eastAsia="宋体"/>
          <w:color w:val="000000"/>
        </w:rPr>
        <w:t xml:space="preserve"> </w:t>
      </w:r>
      <w:r w:rsidRPr="00266486">
        <w:t xml:space="preserve">raw reads were </w:t>
      </w:r>
      <w:r w:rsidRPr="00266486">
        <w:rPr>
          <w:i/>
        </w:rPr>
        <w:t xml:space="preserve">de novo </w:t>
      </w:r>
      <w:r w:rsidRPr="00266486">
        <w:t xml:space="preserve">assembled by using SOAPdenovo 2.04-r240 </w:t>
      </w:r>
      <w:r>
        <w:rPr>
          <w:noProof/>
        </w:rPr>
        <w:t>(Luo et al., 2012)</w:t>
      </w:r>
      <w:r w:rsidRPr="00266486">
        <w:t xml:space="preserve"> with k-mer equaling 23 and gaps were closed from the assembly by using SOAP GapCloser v1.12. </w:t>
      </w:r>
      <w:r w:rsidRPr="00266486">
        <w:rPr>
          <w:rFonts w:eastAsia="宋体"/>
          <w:color w:val="000000"/>
        </w:rPr>
        <w:t xml:space="preserve">All assemblies were then predicted by </w:t>
      </w:r>
      <w:r w:rsidRPr="00266486">
        <w:t xml:space="preserve">TransDecoder v2013-11-17 with default settings </w:t>
      </w:r>
      <w:r>
        <w:rPr>
          <w:noProof/>
        </w:rPr>
        <w:t>(Grabherr et al., 2011)</w:t>
      </w:r>
      <w:r w:rsidRPr="00266486">
        <w:t xml:space="preserve"> to get coding sequences (cds) no less than 300 bases. CD-HIT v4.6 </w:t>
      </w:r>
      <w:r>
        <w:rPr>
          <w:noProof/>
        </w:rPr>
        <w:t>(Li and Godzik, 2006)</w:t>
      </w:r>
      <w:r w:rsidRPr="00266486">
        <w:t xml:space="preserve"> was used to remove the shorter identical sequences (-c 1.0).</w:t>
      </w:r>
    </w:p>
    <w:p w:rsidR="00EA1186" w:rsidRPr="00266486" w:rsidRDefault="00EA1186" w:rsidP="00EA1186">
      <w:pPr>
        <w:spacing w:after="180" w:line="340" w:lineRule="exact"/>
        <w:jc w:val="both"/>
        <w:rPr>
          <w:rFonts w:eastAsia="Times New Roman"/>
          <w:b/>
        </w:rPr>
      </w:pPr>
      <w:r w:rsidRPr="00266486">
        <w:rPr>
          <w:rFonts w:eastAsia="Times New Roman"/>
          <w:b/>
        </w:rPr>
        <w:t>Selection of low-copy nuclear genes</w:t>
      </w:r>
    </w:p>
    <w:p w:rsidR="00EA1186" w:rsidRPr="00266486" w:rsidRDefault="00EA1186" w:rsidP="00EA1186">
      <w:pPr>
        <w:autoSpaceDE w:val="0"/>
        <w:autoSpaceDN w:val="0"/>
        <w:adjustRightInd w:val="0"/>
        <w:spacing w:after="180" w:line="340" w:lineRule="exact"/>
        <w:ind w:firstLine="425"/>
        <w:jc w:val="both"/>
      </w:pPr>
      <w:r w:rsidRPr="00266486">
        <w:t xml:space="preserve">Three low-copy nuclear gene sets were used in this study. The first gene set was selected from 4,180 orthologous nuclear groups (OGs) identified by HaMStR </w:t>
      </w:r>
      <w:r>
        <w:rPr>
          <w:noProof/>
        </w:rPr>
        <w:t>(Ebersberger et al., 2009)</w:t>
      </w:r>
      <w:r w:rsidRPr="00266486">
        <w:t xml:space="preserve"> among genomes of nine angiosperm species (</w:t>
      </w:r>
      <w:r w:rsidRPr="00266486">
        <w:rPr>
          <w:i/>
        </w:rPr>
        <w:t>Arabidopsis thaliana</w:t>
      </w:r>
      <w:r w:rsidRPr="00266486">
        <w:t xml:space="preserve">, </w:t>
      </w:r>
      <w:r w:rsidRPr="00266486">
        <w:rPr>
          <w:i/>
        </w:rPr>
        <w:t>Glycine max</w:t>
      </w:r>
      <w:r w:rsidRPr="00266486">
        <w:t xml:space="preserve">, </w:t>
      </w:r>
      <w:r w:rsidRPr="00266486">
        <w:rPr>
          <w:i/>
        </w:rPr>
        <w:t>Medicago truncatula</w:t>
      </w:r>
      <w:r w:rsidRPr="00266486">
        <w:t xml:space="preserve">, </w:t>
      </w:r>
      <w:r w:rsidRPr="00266486">
        <w:rPr>
          <w:i/>
        </w:rPr>
        <w:t>Oryza sativa</w:t>
      </w:r>
      <w:r w:rsidRPr="00266486">
        <w:t xml:space="preserve">, </w:t>
      </w:r>
      <w:r w:rsidRPr="00266486">
        <w:rPr>
          <w:i/>
        </w:rPr>
        <w:t>Populus trichocarpa</w:t>
      </w:r>
      <w:r w:rsidRPr="00266486">
        <w:t xml:space="preserve">, </w:t>
      </w:r>
      <w:r w:rsidRPr="00266486">
        <w:rPr>
          <w:i/>
        </w:rPr>
        <w:t>Solanum lycopersicum</w:t>
      </w:r>
      <w:r w:rsidRPr="00266486">
        <w:t xml:space="preserve">, </w:t>
      </w:r>
      <w:r w:rsidRPr="00266486">
        <w:rPr>
          <w:i/>
        </w:rPr>
        <w:t>Sorghum bicolor</w:t>
      </w:r>
      <w:r w:rsidRPr="00266486">
        <w:t xml:space="preserve">, </w:t>
      </w:r>
      <w:r w:rsidRPr="00266486">
        <w:rPr>
          <w:i/>
        </w:rPr>
        <w:t>Vitis vinifera</w:t>
      </w:r>
      <w:r w:rsidRPr="00266486">
        <w:t xml:space="preserve">, and </w:t>
      </w:r>
      <w:r w:rsidRPr="00266486">
        <w:rPr>
          <w:i/>
        </w:rPr>
        <w:t>Zea mays</w:t>
      </w:r>
      <w:r w:rsidRPr="00266486">
        <w:t>). A small tax</w:t>
      </w:r>
      <w:r>
        <w:t>on</w:t>
      </w:r>
      <w:r w:rsidRPr="00266486">
        <w:t xml:space="preserve"> sampling </w:t>
      </w:r>
      <w:r>
        <w:t>included</w:t>
      </w:r>
      <w:r w:rsidRPr="00266486">
        <w:t xml:space="preserve"> 35 representative Asteraceae species from 7 subfamilies and 18 tribes and one outgroup species </w:t>
      </w:r>
      <w:r w:rsidRPr="00266486">
        <w:rPr>
          <w:i/>
        </w:rPr>
        <w:t>Nastanthus agglomeratus</w:t>
      </w:r>
      <w:r w:rsidRPr="00266486">
        <w:t xml:space="preserve"> of Calyceraceae</w:t>
      </w:r>
      <w:r>
        <w:t xml:space="preserve"> (Figure S2B)</w:t>
      </w:r>
      <w:r w:rsidRPr="00266486">
        <w:rPr>
          <w:rStyle w:val="a7"/>
        </w:rPr>
        <w:t>.</w:t>
      </w:r>
      <w:r w:rsidRPr="00266486">
        <w:t xml:space="preserve"> </w:t>
      </w:r>
      <w:r>
        <w:t xml:space="preserve">Gene </w:t>
      </w:r>
      <w:r w:rsidRPr="00266486">
        <w:t xml:space="preserve">copies </w:t>
      </w:r>
      <w:r>
        <w:t>in</w:t>
      </w:r>
      <w:r w:rsidRPr="00266486">
        <w:t xml:space="preserve"> the 4,180 OGs </w:t>
      </w:r>
      <w:r>
        <w:t>from</w:t>
      </w:r>
      <w:r w:rsidRPr="00266486">
        <w:t xml:space="preserve"> the 36 species were </w:t>
      </w:r>
      <w:r>
        <w:t>identified</w:t>
      </w:r>
      <w:r w:rsidRPr="00266486">
        <w:t xml:space="preserve"> using HaMStR 2.2 with E values of less than e</w:t>
      </w:r>
      <w:r w:rsidRPr="00266486">
        <w:rPr>
          <w:vertAlign w:val="superscript"/>
        </w:rPr>
        <w:t>-20</w:t>
      </w:r>
      <w:r w:rsidRPr="00266486">
        <w:t xml:space="preserve">. 3336 OGs were found with more than 80% species coverage and 847 genes were retained with average copies 1.000-1.100 among those species and were used for further phylogenetic analyses for the complete </w:t>
      </w:r>
      <w:r>
        <w:t xml:space="preserve">taxon </w:t>
      </w:r>
      <w:r w:rsidRPr="00266486">
        <w:t>samplings (</w:t>
      </w:r>
      <w:r w:rsidRPr="00266486">
        <w:rPr>
          <w:lang w:eastAsia="zh-TW"/>
        </w:rPr>
        <w:t>Tables S</w:t>
      </w:r>
      <w:r>
        <w:rPr>
          <w:rFonts w:hint="eastAsia"/>
        </w:rPr>
        <w:t>8</w:t>
      </w:r>
      <w:r>
        <w:rPr>
          <w:lang w:eastAsia="zh-TW"/>
        </w:rPr>
        <w:t xml:space="preserve">, </w:t>
      </w:r>
      <w:r w:rsidRPr="00266486">
        <w:rPr>
          <w:lang w:eastAsia="zh-TW"/>
        </w:rPr>
        <w:t>S</w:t>
      </w:r>
      <w:r>
        <w:rPr>
          <w:rFonts w:hint="eastAsia"/>
        </w:rPr>
        <w:t>9</w:t>
      </w:r>
      <w:r w:rsidRPr="00266486">
        <w:t>).</w:t>
      </w:r>
    </w:p>
    <w:p w:rsidR="00EA1186" w:rsidRPr="00266486" w:rsidRDefault="00EA1186" w:rsidP="00EA1186">
      <w:pPr>
        <w:spacing w:after="180" w:line="340" w:lineRule="exact"/>
        <w:ind w:firstLine="485"/>
        <w:jc w:val="both"/>
        <w:rPr>
          <w:rFonts w:eastAsia="Times New Roman"/>
        </w:rPr>
      </w:pPr>
      <w:r w:rsidRPr="00266486">
        <w:lastRenderedPageBreak/>
        <w:t xml:space="preserve">The second gene set was also selected from above 4180 OGs, also </w:t>
      </w:r>
      <w:r w:rsidRPr="00266486">
        <w:rPr>
          <w:rFonts w:eastAsia="Times New Roman"/>
          <w:color w:val="000000"/>
        </w:rPr>
        <w:t xml:space="preserve">using the above 36 species, but </w:t>
      </w:r>
      <w:r>
        <w:rPr>
          <w:rFonts w:eastAsia="Times New Roman"/>
          <w:color w:val="000000"/>
        </w:rPr>
        <w:t xml:space="preserve">with an </w:t>
      </w:r>
      <w:r w:rsidRPr="00266486">
        <w:rPr>
          <w:rFonts w:eastAsia="Times New Roman"/>
          <w:color w:val="000000"/>
        </w:rPr>
        <w:t>analy</w:t>
      </w:r>
      <w:r>
        <w:rPr>
          <w:rFonts w:eastAsia="Times New Roman"/>
          <w:color w:val="000000"/>
        </w:rPr>
        <w:t>sis of</w:t>
      </w:r>
      <w:r w:rsidRPr="00266486">
        <w:rPr>
          <w:rFonts w:eastAsia="Times New Roman"/>
          <w:color w:val="000000"/>
        </w:rPr>
        <w:t xml:space="preserve"> unigene trees reconstructed by RaxML v7.0.4 </w:t>
      </w:r>
      <w:r>
        <w:rPr>
          <w:rFonts w:eastAsia="Times New Roman"/>
          <w:noProof/>
          <w:color w:val="000000"/>
        </w:rPr>
        <w:t>(Stamatakis, 2006)</w:t>
      </w:r>
      <w:r w:rsidRPr="00266486">
        <w:rPr>
          <w:rFonts w:eastAsia="Times New Roman"/>
          <w:color w:val="000000"/>
        </w:rPr>
        <w:t xml:space="preserve"> using a GTRCAT model. Previous studies have confirmed the monophyly of the tribes</w:t>
      </w:r>
      <w:r>
        <w:rPr>
          <w:rFonts w:eastAsia="Times New Roman"/>
          <w:color w:val="000000"/>
        </w:rPr>
        <w:t xml:space="preserve"> with sampling here for an expanded set of</w:t>
      </w:r>
      <w:r w:rsidRPr="00266486">
        <w:rPr>
          <w:rFonts w:eastAsia="Times New Roman"/>
          <w:color w:val="000000"/>
        </w:rPr>
        <w:t xml:space="preserve"> 120 species (</w:t>
      </w:r>
      <w:r w:rsidRPr="00266486">
        <w:t>see Figure S</w:t>
      </w:r>
      <w:r>
        <w:t>2C</w:t>
      </w:r>
      <w:r w:rsidRPr="00266486">
        <w:t>)</w:t>
      </w:r>
      <w:r w:rsidRPr="00266486">
        <w:rPr>
          <w:rFonts w:eastAsia="Times New Roman"/>
          <w:color w:val="000000"/>
        </w:rPr>
        <w:t xml:space="preserve">. The unigene trees that did not group together members of </w:t>
      </w:r>
      <w:r>
        <w:rPr>
          <w:rFonts w:eastAsia="Times New Roman"/>
          <w:color w:val="000000"/>
        </w:rPr>
        <w:t>one of these</w:t>
      </w:r>
      <w:r w:rsidRPr="00266486">
        <w:rPr>
          <w:rFonts w:eastAsia="Times New Roman"/>
          <w:color w:val="000000"/>
        </w:rPr>
        <w:t xml:space="preserve"> tribe</w:t>
      </w:r>
      <w:r>
        <w:rPr>
          <w:rFonts w:eastAsia="Times New Roman"/>
          <w:color w:val="000000"/>
        </w:rPr>
        <w:t>s</w:t>
      </w:r>
      <w:r w:rsidRPr="00266486">
        <w:rPr>
          <w:rFonts w:eastAsia="Times New Roman"/>
          <w:color w:val="000000"/>
        </w:rPr>
        <w:t xml:space="preserve"> or that had very few resolved relationships with bootstrap support values higher than 75% were discarded. Relationships </w:t>
      </w:r>
      <w:r w:rsidRPr="00266486">
        <w:rPr>
          <w:rFonts w:eastAsia="Times New Roman"/>
          <w:i/>
          <w:color w:val="000000"/>
        </w:rPr>
        <w:t>a prior</w:t>
      </w:r>
      <w:r w:rsidRPr="00266486">
        <w:rPr>
          <w:rFonts w:eastAsia="Times New Roman"/>
          <w:color w:val="000000"/>
        </w:rPr>
        <w:t xml:space="preserve"> among tribes were not used for selecting genes. Such a method for selecting </w:t>
      </w:r>
      <w:r>
        <w:rPr>
          <w:rFonts w:eastAsia="Times New Roman"/>
          <w:color w:val="000000"/>
        </w:rPr>
        <w:t xml:space="preserve">putative </w:t>
      </w:r>
      <w:r w:rsidRPr="00266486">
        <w:rPr>
          <w:rFonts w:eastAsia="Times New Roman"/>
          <w:color w:val="000000"/>
        </w:rPr>
        <w:t xml:space="preserve">orthologous genes using the criteria of some known or confirmed relationships at lower classification ranks (e.g. genus) have been effective to study the phylogenies at higher classification ranks (e.g., subfamilies) </w:t>
      </w:r>
      <w:r>
        <w:rPr>
          <w:rFonts w:eastAsia="Times New Roman"/>
          <w:noProof/>
          <w:color w:val="000000"/>
        </w:rPr>
        <w:t>(Huang et al., 2016a; Xiang et al., 2016; Zeng et al., 2014)</w:t>
      </w:r>
      <w:r w:rsidRPr="00266486">
        <w:rPr>
          <w:rFonts w:eastAsia="Times New Roman"/>
          <w:color w:val="000000"/>
        </w:rPr>
        <w:t xml:space="preserve">. We </w:t>
      </w:r>
      <w:r>
        <w:rPr>
          <w:rFonts w:eastAsia="Times New Roman"/>
          <w:color w:val="000000"/>
        </w:rPr>
        <w:t>inspected</w:t>
      </w:r>
      <w:r w:rsidRPr="00266486">
        <w:rPr>
          <w:rFonts w:eastAsia="Times New Roman"/>
          <w:color w:val="000000"/>
        </w:rPr>
        <w:t xml:space="preserve"> </w:t>
      </w:r>
      <w:r>
        <w:rPr>
          <w:rFonts w:eastAsia="Times New Roman"/>
          <w:color w:val="000000"/>
        </w:rPr>
        <w:t>a set of</w:t>
      </w:r>
      <w:r w:rsidRPr="00266486">
        <w:rPr>
          <w:rFonts w:eastAsia="Times New Roman"/>
          <w:color w:val="000000"/>
        </w:rPr>
        <w:t xml:space="preserve"> random</w:t>
      </w:r>
      <w:r>
        <w:rPr>
          <w:rFonts w:eastAsia="Times New Roman"/>
          <w:color w:val="000000"/>
        </w:rPr>
        <w:t>ly</w:t>
      </w:r>
      <w:r w:rsidRPr="00266486">
        <w:rPr>
          <w:rFonts w:eastAsia="Times New Roman"/>
          <w:color w:val="000000"/>
        </w:rPr>
        <w:t xml:space="preserve"> selected 552 gene trees and retained </w:t>
      </w:r>
      <w:r w:rsidRPr="00266486">
        <w:rPr>
          <w:rFonts w:eastAsia="Times New Roman"/>
          <w:bCs/>
          <w:color w:val="000000"/>
        </w:rPr>
        <w:t xml:space="preserve">177 </w:t>
      </w:r>
      <w:r w:rsidRPr="00266486">
        <w:rPr>
          <w:rFonts w:eastAsia="Times New Roman"/>
          <w:color w:val="000000"/>
        </w:rPr>
        <w:t>genes. Results of preliminary phylogenetic analyses using those 177 genes showed that the relationships among those 36 species and</w:t>
      </w:r>
      <w:r>
        <w:rPr>
          <w:rFonts w:eastAsia="Times New Roman"/>
          <w:color w:val="000000"/>
        </w:rPr>
        <w:t xml:space="preserve"> the set of</w:t>
      </w:r>
      <w:r w:rsidRPr="00266486">
        <w:rPr>
          <w:rFonts w:eastAsia="Times New Roman"/>
          <w:color w:val="000000"/>
        </w:rPr>
        <w:t xml:space="preserve"> 120 species were much resolved (</w:t>
      </w:r>
      <w:r w:rsidRPr="00266486">
        <w:t>see Figure S</w:t>
      </w:r>
      <w:r>
        <w:t>2C</w:t>
      </w:r>
      <w:r w:rsidRPr="00266486">
        <w:t>)</w:t>
      </w:r>
      <w:r w:rsidRPr="00266486">
        <w:rPr>
          <w:rFonts w:eastAsia="Times New Roman"/>
        </w:rPr>
        <w:t xml:space="preserve">. </w:t>
      </w:r>
    </w:p>
    <w:p w:rsidR="00EA1186" w:rsidRPr="00266486" w:rsidRDefault="00EA1186" w:rsidP="00EA1186">
      <w:pPr>
        <w:spacing w:after="180" w:line="340" w:lineRule="exact"/>
        <w:ind w:firstLine="485"/>
        <w:jc w:val="both"/>
        <w:rPr>
          <w:rFonts w:eastAsia="Times New Roman"/>
          <w:color w:val="000000"/>
        </w:rPr>
      </w:pPr>
      <w:r w:rsidRPr="00266486">
        <w:rPr>
          <w:rFonts w:eastAsia="Times New Roman"/>
          <w:color w:val="000000"/>
        </w:rPr>
        <w:t xml:space="preserve">The third gene set is the 175 single-copy orthologous sets (SCOS) used by </w:t>
      </w:r>
      <w:r>
        <w:rPr>
          <w:rFonts w:eastAsia="Times New Roman"/>
          <w:noProof/>
          <w:color w:val="000000"/>
        </w:rPr>
        <w:t>Huang et al. (2016b</w:t>
      </w:r>
      <w:r>
        <w:rPr>
          <w:rFonts w:eastAsia="Times New Roman"/>
          <w:color w:val="000000"/>
        </w:rPr>
        <w:t>.</w:t>
      </w:r>
      <w:r w:rsidRPr="00266486">
        <w:rPr>
          <w:rFonts w:eastAsia="Times New Roman"/>
          <w:color w:val="000000"/>
        </w:rPr>
        <w:t xml:space="preserve"> They were identified by OrthoMCL 1.4 </w:t>
      </w:r>
      <w:r>
        <w:rPr>
          <w:rFonts w:eastAsia="Times New Roman"/>
          <w:noProof/>
          <w:color w:val="000000"/>
        </w:rPr>
        <w:t>(Li et al., 2003)</w:t>
      </w:r>
      <w:r w:rsidRPr="00266486">
        <w:rPr>
          <w:rFonts w:eastAsia="Times New Roman"/>
          <w:color w:val="000000"/>
        </w:rPr>
        <w:t xml:space="preserve"> from 18 Asteraceae species </w:t>
      </w:r>
      <w:r>
        <w:rPr>
          <w:rFonts w:eastAsia="Times New Roman"/>
          <w:color w:val="000000"/>
        </w:rPr>
        <w:t>in</w:t>
      </w:r>
      <w:r w:rsidRPr="00266486">
        <w:rPr>
          <w:rFonts w:eastAsia="Times New Roman"/>
          <w:color w:val="000000"/>
        </w:rPr>
        <w:t xml:space="preserve"> different tribes (</w:t>
      </w:r>
      <w:r w:rsidRPr="00266486">
        <w:rPr>
          <w:rFonts w:eastAsia="Times New Roman"/>
          <w:i/>
          <w:iCs/>
          <w:color w:val="000000"/>
        </w:rPr>
        <w:t xml:space="preserve">Arctotheca calendula, Bellis perennis, Carduus nutans, Centipeda minima, Centromadia pungens, Dasyphyllum diacanthoides, Eutrochium purpureum, Gymnarrhena micrantha, Helenium autumnale, Inula linariifolia, Leontopodium smithianum, Mutisia </w:t>
      </w:r>
      <w:r>
        <w:rPr>
          <w:rFonts w:eastAsia="Times New Roman"/>
          <w:i/>
          <w:iCs/>
          <w:color w:val="000000"/>
        </w:rPr>
        <w:t>acuminata</w:t>
      </w:r>
      <w:r w:rsidRPr="00266486">
        <w:rPr>
          <w:rFonts w:eastAsia="Times New Roman"/>
          <w:i/>
          <w:iCs/>
          <w:color w:val="000000"/>
        </w:rPr>
        <w:t xml:space="preserve">, Onoseris weberbaueri, Osteospermum jucundum, Proustia cuneifolia, Senecio vulgaris, Taraxacum officinale, </w:t>
      </w:r>
      <w:r w:rsidRPr="00266486">
        <w:rPr>
          <w:rFonts w:eastAsia="Times New Roman"/>
          <w:iCs/>
          <w:color w:val="000000"/>
        </w:rPr>
        <w:t xml:space="preserve">and </w:t>
      </w:r>
      <w:r w:rsidRPr="00266486">
        <w:rPr>
          <w:rFonts w:eastAsia="Times New Roman"/>
          <w:i/>
          <w:iCs/>
          <w:color w:val="000000"/>
        </w:rPr>
        <w:t>Xanthium strumarium</w:t>
      </w:r>
      <w:r w:rsidRPr="00266486">
        <w:rPr>
          <w:rFonts w:eastAsia="Times New Roman"/>
          <w:color w:val="000000"/>
        </w:rPr>
        <w:t xml:space="preserve">) and one outgroup species </w:t>
      </w:r>
      <w:r w:rsidRPr="00266486">
        <w:rPr>
          <w:rFonts w:eastAsia="Times New Roman"/>
          <w:i/>
          <w:iCs/>
          <w:color w:val="000000"/>
        </w:rPr>
        <w:t xml:space="preserve">Acicarpha spathulata. </w:t>
      </w:r>
      <w:r>
        <w:rPr>
          <w:rFonts w:eastAsia="Times New Roman"/>
          <w:iCs/>
          <w:noProof/>
          <w:color w:val="000000"/>
        </w:rPr>
        <w:t>Huang et al. (2016b</w:t>
      </w:r>
      <w:r w:rsidRPr="00266486">
        <w:rPr>
          <w:rFonts w:eastAsia="Times New Roman"/>
          <w:iCs/>
          <w:color w:val="000000"/>
        </w:rPr>
        <w:t xml:space="preserve"> used those 175 SCOS and </w:t>
      </w:r>
      <w:r>
        <w:rPr>
          <w:rFonts w:eastAsia="Times New Roman"/>
          <w:iCs/>
          <w:color w:val="000000"/>
        </w:rPr>
        <w:t xml:space="preserve">generated a phylogeny with </w:t>
      </w:r>
      <w:r w:rsidRPr="00266486">
        <w:rPr>
          <w:rFonts w:eastAsia="Times New Roman"/>
          <w:iCs/>
          <w:color w:val="000000"/>
        </w:rPr>
        <w:t>well</w:t>
      </w:r>
      <w:r>
        <w:rPr>
          <w:rFonts w:eastAsia="Times New Roman"/>
          <w:iCs/>
          <w:color w:val="000000"/>
        </w:rPr>
        <w:t>-</w:t>
      </w:r>
      <w:r w:rsidRPr="00266486">
        <w:rPr>
          <w:rFonts w:eastAsia="Times New Roman"/>
          <w:iCs/>
          <w:color w:val="000000"/>
        </w:rPr>
        <w:t>resolve</w:t>
      </w:r>
      <w:r>
        <w:rPr>
          <w:rFonts w:eastAsia="Times New Roman"/>
          <w:iCs/>
          <w:color w:val="000000"/>
        </w:rPr>
        <w:t>d</w:t>
      </w:r>
      <w:r w:rsidRPr="00266486">
        <w:rPr>
          <w:rFonts w:eastAsia="Times New Roman"/>
          <w:iCs/>
          <w:color w:val="000000"/>
        </w:rPr>
        <w:t xml:space="preserve"> relationships among the six main subfamilies and eighteen tribes of Asteraceae that were basically consistent with the results inferred from chloroplast genes. </w:t>
      </w:r>
    </w:p>
    <w:p w:rsidR="00EA1186" w:rsidRPr="00266486" w:rsidRDefault="00EA1186" w:rsidP="00EA1186">
      <w:pPr>
        <w:spacing w:after="180" w:line="340" w:lineRule="exact"/>
        <w:ind w:firstLine="485"/>
        <w:jc w:val="both"/>
        <w:rPr>
          <w:rFonts w:eastAsia="Times New Roman"/>
          <w:color w:val="000000"/>
        </w:rPr>
      </w:pPr>
      <w:r w:rsidRPr="00266486">
        <w:rPr>
          <w:rFonts w:eastAsia="Times New Roman"/>
          <w:color w:val="000000"/>
        </w:rPr>
        <w:t xml:space="preserve">The above three gene sets together contain 1087 genes, with 122 genes repeated among different sets. For details of the information and the alignment of each gene, </w:t>
      </w:r>
      <w:r w:rsidRPr="00266486">
        <w:rPr>
          <w:rFonts w:eastAsia="Times New Roman"/>
        </w:rPr>
        <w:t xml:space="preserve">see </w:t>
      </w:r>
      <w:r w:rsidRPr="00266486">
        <w:t>Table S9</w:t>
      </w:r>
      <w:r w:rsidRPr="00266486">
        <w:rPr>
          <w:rFonts w:eastAsia="Times New Roman"/>
        </w:rPr>
        <w:t xml:space="preserve">). The 1087 </w:t>
      </w:r>
      <w:r>
        <w:rPr>
          <w:rFonts w:eastAsia="Times New Roman"/>
        </w:rPr>
        <w:t xml:space="preserve">non-redundant </w:t>
      </w:r>
      <w:r w:rsidRPr="00266486">
        <w:rPr>
          <w:rFonts w:eastAsia="Times New Roman"/>
        </w:rPr>
        <w:t>genes and additional subsets were used for subsequent phylogenetic</w:t>
      </w:r>
      <w:r w:rsidRPr="00266486">
        <w:rPr>
          <w:rFonts w:eastAsia="Times New Roman"/>
          <w:color w:val="000000"/>
        </w:rPr>
        <w:t xml:space="preserve"> analyses among the 24</w:t>
      </w:r>
      <w:r>
        <w:rPr>
          <w:rFonts w:eastAsia="Times New Roman"/>
          <w:color w:val="000000"/>
        </w:rPr>
        <w:t>8</w:t>
      </w:r>
      <w:r w:rsidRPr="00266486">
        <w:rPr>
          <w:rFonts w:eastAsia="Times New Roman"/>
          <w:color w:val="000000"/>
        </w:rPr>
        <w:t xml:space="preserve"> species.</w:t>
      </w:r>
    </w:p>
    <w:p w:rsidR="00EA1186" w:rsidRPr="00266486" w:rsidRDefault="00EA1186" w:rsidP="00EA1186">
      <w:pPr>
        <w:spacing w:after="180" w:line="340" w:lineRule="exact"/>
        <w:jc w:val="both"/>
        <w:rPr>
          <w:rFonts w:eastAsia="Times New Roman"/>
          <w:b/>
        </w:rPr>
      </w:pPr>
    </w:p>
    <w:p w:rsidR="00EA1186" w:rsidRPr="00266486" w:rsidRDefault="00EA1186" w:rsidP="00EA1186">
      <w:pPr>
        <w:spacing w:after="180" w:line="340" w:lineRule="exact"/>
        <w:jc w:val="both"/>
        <w:rPr>
          <w:rFonts w:eastAsia="Times New Roman"/>
          <w:b/>
        </w:rPr>
      </w:pPr>
      <w:r w:rsidRPr="00266486">
        <w:rPr>
          <w:rFonts w:eastAsia="Times New Roman"/>
          <w:b/>
        </w:rPr>
        <w:t>Phylogenetic analyses</w:t>
      </w:r>
    </w:p>
    <w:p w:rsidR="00EA1186" w:rsidRPr="00266486" w:rsidRDefault="00EA1186" w:rsidP="00EA1186">
      <w:pPr>
        <w:spacing w:after="180" w:line="340" w:lineRule="exact"/>
        <w:ind w:firstLine="425"/>
        <w:jc w:val="both"/>
        <w:rPr>
          <w:rFonts w:eastAsia="宋体"/>
          <w:color w:val="000000"/>
        </w:rPr>
      </w:pPr>
      <w:r w:rsidRPr="00266486">
        <w:rPr>
          <w:rFonts w:eastAsia="宋体"/>
          <w:color w:val="000000"/>
        </w:rPr>
        <w:t xml:space="preserve">Coalescence method using ASTRAL 4.10.6 </w:t>
      </w:r>
      <w:r>
        <w:rPr>
          <w:rFonts w:eastAsia="宋体"/>
          <w:noProof/>
          <w:color w:val="000000"/>
        </w:rPr>
        <w:t>(Mirarab et al., 2014)</w:t>
      </w:r>
      <w:r w:rsidRPr="00266486">
        <w:rPr>
          <w:rFonts w:eastAsia="宋体"/>
          <w:color w:val="000000"/>
        </w:rPr>
        <w:t xml:space="preserve"> and supermatrix method using RaxML </w:t>
      </w:r>
      <w:r w:rsidRPr="00266486">
        <w:t xml:space="preserve">v7.0.4 </w:t>
      </w:r>
      <w:r w:rsidRPr="00266486">
        <w:rPr>
          <w:rFonts w:eastAsia="宋体"/>
          <w:color w:val="000000"/>
        </w:rPr>
        <w:t>were used for phylogenetic analyses. One copy of each</w:t>
      </w:r>
      <w:r>
        <w:rPr>
          <w:rFonts w:eastAsia="宋体"/>
          <w:color w:val="000000"/>
        </w:rPr>
        <w:t xml:space="preserve"> of</w:t>
      </w:r>
      <w:r w:rsidRPr="00266486">
        <w:rPr>
          <w:rFonts w:eastAsia="宋体"/>
          <w:color w:val="000000"/>
        </w:rPr>
        <w:t xml:space="preserve"> 1087 genes of 24</w:t>
      </w:r>
      <w:r>
        <w:rPr>
          <w:rFonts w:eastAsia="宋体"/>
          <w:color w:val="000000"/>
        </w:rPr>
        <w:t>8</w:t>
      </w:r>
      <w:r w:rsidRPr="00266486">
        <w:rPr>
          <w:rFonts w:eastAsia="宋体"/>
          <w:color w:val="000000"/>
        </w:rPr>
        <w:t xml:space="preserve"> species was retrieved using HaMStR with E values less than e</w:t>
      </w:r>
      <w:r w:rsidRPr="00266486">
        <w:rPr>
          <w:rFonts w:eastAsia="宋体"/>
          <w:color w:val="000000"/>
          <w:vertAlign w:val="superscript"/>
        </w:rPr>
        <w:t>-20</w:t>
      </w:r>
      <w:r w:rsidRPr="00266486">
        <w:rPr>
          <w:rFonts w:eastAsia="宋体"/>
          <w:color w:val="000000"/>
        </w:rPr>
        <w:t xml:space="preserve">. Nucleotide sequence alignments for each gene were obtained according to the </w:t>
      </w:r>
      <w:r w:rsidRPr="00266486">
        <w:rPr>
          <w:rFonts w:eastAsia="宋体"/>
          <w:color w:val="000000"/>
        </w:rPr>
        <w:lastRenderedPageBreak/>
        <w:t xml:space="preserve">corresponding amino acid alignments using MUCLE v3.8.31 </w:t>
      </w:r>
      <w:r>
        <w:rPr>
          <w:rFonts w:eastAsia="宋体"/>
          <w:noProof/>
          <w:color w:val="000000"/>
        </w:rPr>
        <w:t>(Edgar, 2004)</w:t>
      </w:r>
      <w:r w:rsidRPr="00266486">
        <w:rPr>
          <w:rFonts w:eastAsia="宋体"/>
          <w:color w:val="000000"/>
        </w:rPr>
        <w:t xml:space="preserve"> with default parameters. The alignments were then trimmed by using trimAL v1.4 (“-automated” option; </w:t>
      </w:r>
      <w:r>
        <w:rPr>
          <w:rFonts w:eastAsia="宋体"/>
          <w:noProof/>
          <w:color w:val="000000"/>
        </w:rPr>
        <w:t>Capella-Gutiérrez et al. (2009</w:t>
      </w:r>
      <w:r w:rsidRPr="00266486">
        <w:rPr>
          <w:rFonts w:eastAsia="宋体"/>
          <w:color w:val="000000"/>
        </w:rPr>
        <w:t>). For coalescence analyses, unigene trees were reconstructed by using RaxML with GTRCAT model. For supermatrix analyses, a perl script is used to concatenate all unigene sequences for each species from the trimmed unigene alignments and the GTRGAMMAI model inferred by jModeltest was used.</w:t>
      </w:r>
    </w:p>
    <w:p w:rsidR="00EA1186" w:rsidRPr="00266486" w:rsidRDefault="00EA1186" w:rsidP="00EA1186">
      <w:pPr>
        <w:spacing w:after="180" w:line="340" w:lineRule="exact"/>
        <w:jc w:val="both"/>
        <w:rPr>
          <w:rFonts w:eastAsia="Times New Roman"/>
          <w:b/>
        </w:rPr>
      </w:pPr>
      <w:r w:rsidRPr="00266486">
        <w:rPr>
          <w:rFonts w:eastAsia="Times New Roman"/>
          <w:b/>
        </w:rPr>
        <w:t>Divergence time estimations</w:t>
      </w:r>
    </w:p>
    <w:p w:rsidR="00EA1186" w:rsidRPr="00266486" w:rsidRDefault="00EA1186" w:rsidP="00EA1186">
      <w:pPr>
        <w:spacing w:after="180" w:line="340" w:lineRule="exact"/>
        <w:ind w:firstLine="425"/>
        <w:jc w:val="both"/>
        <w:rPr>
          <w:color w:val="000000" w:themeColor="text1"/>
        </w:rPr>
      </w:pPr>
      <w:r w:rsidRPr="00266486">
        <w:rPr>
          <w:color w:val="000000" w:themeColor="text1"/>
        </w:rPr>
        <w:t xml:space="preserve">To date the age of Asteraceae lineages, we performed estimations by penalized likelihood and Bayesian methods implemented respectively in r8s v1.7.1 </w:t>
      </w:r>
      <w:r>
        <w:rPr>
          <w:noProof/>
        </w:rPr>
        <w:t>(Sanderson, 2003)</w:t>
      </w:r>
      <w:r w:rsidRPr="00266486">
        <w:t xml:space="preserve"> and BEAST v2.4.3</w:t>
      </w:r>
      <w:r>
        <w:t xml:space="preserve"> </w:t>
      </w:r>
      <w:r>
        <w:rPr>
          <w:noProof/>
        </w:rPr>
        <w:t>(Bouckaert et al., 2014)</w:t>
      </w:r>
      <w:r w:rsidRPr="00266486">
        <w:t xml:space="preserve">. We used a total of 14-15 fossils for the estimations mostly according to </w:t>
      </w:r>
      <w:r>
        <w:rPr>
          <w:rFonts w:eastAsia="AdvOT1ef757c0"/>
          <w:noProof/>
        </w:rPr>
        <w:t>Smith et al. (2010</w:t>
      </w:r>
      <w:r w:rsidRPr="00266486">
        <w:rPr>
          <w:rFonts w:eastAsia="AdvOT1ef757c0"/>
        </w:rPr>
        <w:t>,</w:t>
      </w:r>
      <w:r w:rsidRPr="00266486">
        <w:rPr>
          <w:rFonts w:eastAsia="PMingLiU"/>
        </w:rPr>
        <w:t xml:space="preserve"> </w:t>
      </w:r>
      <w:r>
        <w:rPr>
          <w:rFonts w:eastAsia="PMingLiU"/>
          <w:noProof/>
        </w:rPr>
        <w:t>Magallón et al. (2015</w:t>
      </w:r>
      <w:r w:rsidRPr="00266486">
        <w:t xml:space="preserve"> and </w:t>
      </w:r>
      <w:r>
        <w:rPr>
          <w:noProof/>
        </w:rPr>
        <w:t>Panero and Crozier (2016</w:t>
      </w:r>
      <w:r w:rsidRPr="00266486">
        <w:t xml:space="preserve">. Information of the use, assignments and parameters for the constraints in </w:t>
      </w:r>
      <w:r w:rsidRPr="00266486">
        <w:rPr>
          <w:lang w:eastAsia="zh-TW"/>
        </w:rPr>
        <w:t>our analyses</w:t>
      </w:r>
      <w:r w:rsidRPr="00266486">
        <w:t xml:space="preserve"> were listed in Table </w:t>
      </w:r>
      <w:r w:rsidRPr="00266486">
        <w:rPr>
          <w:lang w:eastAsia="zh-TW"/>
        </w:rPr>
        <w:t>S</w:t>
      </w:r>
      <w:r>
        <w:rPr>
          <w:rFonts w:hint="eastAsia"/>
        </w:rPr>
        <w:t>3</w:t>
      </w:r>
      <w:r w:rsidRPr="00266486">
        <w:t xml:space="preserve"> (also see Figure</w:t>
      </w:r>
      <w:r>
        <w:t>s</w:t>
      </w:r>
      <w:r w:rsidRPr="00266486">
        <w:t xml:space="preserve"> S1</w:t>
      </w:r>
      <w:r>
        <w:t>6</w:t>
      </w:r>
      <w:r w:rsidRPr="00266486">
        <w:t>, S1</w:t>
      </w:r>
      <w:r>
        <w:t>8</w:t>
      </w:r>
      <w:r w:rsidRPr="00266486">
        <w:t>, S</w:t>
      </w:r>
      <w:r>
        <w:t>20</w:t>
      </w:r>
      <w:r w:rsidRPr="00266486">
        <w:t>, S2</w:t>
      </w:r>
      <w:r>
        <w:t>2</w:t>
      </w:r>
      <w:r w:rsidRPr="00266486">
        <w:t>, S2</w:t>
      </w:r>
      <w:r>
        <w:t>4</w:t>
      </w:r>
      <w:r w:rsidRPr="00266486">
        <w:t xml:space="preserve">). We used a total of five calibration sets in our analyses considering potential issues associate with the </w:t>
      </w:r>
      <w:r w:rsidRPr="00266486">
        <w:rPr>
          <w:i/>
        </w:rPr>
        <w:t>T</w:t>
      </w:r>
      <w:r w:rsidRPr="00266486">
        <w:t xml:space="preserve">. </w:t>
      </w:r>
      <w:r w:rsidRPr="00266486">
        <w:rPr>
          <w:rFonts w:eastAsia="宋体"/>
          <w:i/>
          <w:iCs/>
        </w:rPr>
        <w:t>lilliei</w:t>
      </w:r>
      <w:r w:rsidRPr="00266486">
        <w:t xml:space="preserve"> type A fossil pollen </w:t>
      </w:r>
      <w:r>
        <w:rPr>
          <w:noProof/>
        </w:rPr>
        <w:t>(Barreda et al., 2015)</w:t>
      </w:r>
      <w:r w:rsidRPr="00266486">
        <w:t>: in set 1 this fossil pollen was not included, whereas in sets 2 to 5 this</w:t>
      </w:r>
      <w:r w:rsidRPr="00266486">
        <w:rPr>
          <w:color w:val="000000" w:themeColor="text1"/>
        </w:rPr>
        <w:t xml:space="preserve"> fossil was used with different assignments to see the age variations considering most of the possible placements of this fossil as described by the authors.</w:t>
      </w:r>
    </w:p>
    <w:p w:rsidR="00EA1186" w:rsidRPr="00266486" w:rsidRDefault="00EA1186" w:rsidP="00EA1186">
      <w:pPr>
        <w:spacing w:after="180" w:line="340" w:lineRule="exact"/>
        <w:ind w:firstLine="425"/>
        <w:jc w:val="both"/>
      </w:pPr>
      <w:r w:rsidRPr="00266486">
        <w:rPr>
          <w:color w:val="000000" w:themeColor="text1"/>
        </w:rPr>
        <w:t xml:space="preserve">In r8s analyses, we used the tree generated by ML method using RAxML v7.0.4 </w:t>
      </w:r>
      <w:r>
        <w:rPr>
          <w:noProof/>
          <w:color w:val="000000" w:themeColor="text1"/>
        </w:rPr>
        <w:t>(Stamatakis, 2006)</w:t>
      </w:r>
      <w:r w:rsidRPr="00266486">
        <w:rPr>
          <w:color w:val="000000" w:themeColor="text1"/>
        </w:rPr>
        <w:t xml:space="preserve"> based on 192 genes as input tree and set the smoothing value at 0.1 after performing the build-in cross validation process (cvstart=-2, cvinc=0.5, cvnum=15). Divergence times were estimated using </w:t>
      </w:r>
      <w:r w:rsidRPr="00266486">
        <w:rPr>
          <w:rFonts w:eastAsia="AdvOT1ef757c0"/>
          <w:color w:val="000000" w:themeColor="text1"/>
        </w:rPr>
        <w:t xml:space="preserve">r8s </w:t>
      </w:r>
      <w:r>
        <w:rPr>
          <w:noProof/>
          <w:color w:val="000000" w:themeColor="text1"/>
        </w:rPr>
        <w:t>(Sanderson, 2002)</w:t>
      </w:r>
      <w:r w:rsidRPr="00266486">
        <w:rPr>
          <w:rFonts w:eastAsia="AdvOT1ef757c0"/>
          <w:color w:val="000000" w:themeColor="text1"/>
        </w:rPr>
        <w:t xml:space="preserve"> using TN algorithm as previously described</w:t>
      </w:r>
      <w:r>
        <w:rPr>
          <w:rFonts w:eastAsia="AdvOT1ef757c0"/>
          <w:color w:val="000000" w:themeColor="text1"/>
        </w:rPr>
        <w:t xml:space="preserve"> </w:t>
      </w:r>
      <w:r>
        <w:rPr>
          <w:rFonts w:eastAsia="AdvOT1ef757c0"/>
          <w:noProof/>
          <w:color w:val="000000" w:themeColor="text1"/>
        </w:rPr>
        <w:t>(Huang et al., 2016a)</w:t>
      </w:r>
      <w:r w:rsidRPr="00266486">
        <w:rPr>
          <w:rFonts w:eastAsia="AdvOT1ef757c0"/>
          <w:color w:val="000000" w:themeColor="text1"/>
        </w:rPr>
        <w:t xml:space="preserve">. </w:t>
      </w:r>
      <w:r w:rsidRPr="00266486">
        <w:rPr>
          <w:color w:val="000000" w:themeColor="text1"/>
        </w:rPr>
        <w:t xml:space="preserve">The age of crown Eudicot </w:t>
      </w:r>
      <w:r w:rsidRPr="00266486">
        <w:t xml:space="preserve">was fixed at 136.9 Mya according to </w:t>
      </w:r>
      <w:r>
        <w:rPr>
          <w:noProof/>
        </w:rPr>
        <w:t>Zanne et al. (2014</w:t>
      </w:r>
      <w:r w:rsidRPr="00266486">
        <w:t xml:space="preserve"> and </w:t>
      </w:r>
      <w:r>
        <w:rPr>
          <w:noProof/>
        </w:rPr>
        <w:t>Tank et al. (2015</w:t>
      </w:r>
      <w:r w:rsidRPr="00266486">
        <w:t xml:space="preserve"> as secondary calibration with other fossils set as minimum age for the corresponding nodes (Table S</w:t>
      </w:r>
      <w:r>
        <w:rPr>
          <w:rFonts w:hint="eastAsia"/>
        </w:rPr>
        <w:t>3</w:t>
      </w:r>
      <w:r w:rsidRPr="00266486">
        <w:t xml:space="preserve">). </w:t>
      </w:r>
    </w:p>
    <w:p w:rsidR="00EA1186" w:rsidRPr="00266486" w:rsidRDefault="00EA1186" w:rsidP="00EA1186">
      <w:pPr>
        <w:spacing w:after="180" w:line="340" w:lineRule="exact"/>
        <w:ind w:firstLine="425"/>
        <w:jc w:val="both"/>
        <w:rPr>
          <w:color w:val="000000" w:themeColor="text1"/>
        </w:rPr>
      </w:pPr>
      <w:r w:rsidRPr="00266486">
        <w:rPr>
          <w:lang w:eastAsia="zh-TW"/>
        </w:rPr>
        <w:t>In</w:t>
      </w:r>
      <w:r w:rsidRPr="00266486">
        <w:t xml:space="preserve"> BEAST analyses, it will be very expensive in computations if we performed the estimations with hundreds of genes and species as those used in determining the phylogenetic relationships, so we selected ten genes with their single gene trees closest to our proposed phylogeny (Figure 1) as determined by normalized Robinson-Foulds value using ETE3 toolkit </w:t>
      </w:r>
      <w:r>
        <w:rPr>
          <w:noProof/>
        </w:rPr>
        <w:t>(Huerta-Cepas et al., 2016)</w:t>
      </w:r>
      <w:r w:rsidRPr="00266486">
        <w:t xml:space="preserve"> as the input sequences in BEAST analyses</w:t>
      </w:r>
      <w:r>
        <w:t>.</w:t>
      </w:r>
      <w:r w:rsidRPr="00266486">
        <w:t xml:space="preserve"> </w:t>
      </w:r>
      <w:r>
        <w:t>We reasoned</w:t>
      </w:r>
      <w:r w:rsidRPr="00266486">
        <w:t xml:space="preserve"> that among</w:t>
      </w:r>
      <w:r w:rsidRPr="00266486">
        <w:rPr>
          <w:color w:val="000000" w:themeColor="text1"/>
        </w:rPr>
        <w:t xml:space="preserve"> the hundreds of genes which together resulting in the model phylogeny, the ten genes whose single gene tree </w:t>
      </w:r>
      <w:r>
        <w:rPr>
          <w:color w:val="000000" w:themeColor="text1"/>
        </w:rPr>
        <w:t xml:space="preserve">are </w:t>
      </w:r>
      <w:r w:rsidRPr="00266486">
        <w:rPr>
          <w:color w:val="000000" w:themeColor="text1"/>
        </w:rPr>
        <w:t xml:space="preserve">closest to the model phylogeny should have molecular evolution rate relatively close to the average (i.e. that presented in the model phylogeny). We used GTR+G as site substitution model and uncorrected relaxed lognormal model for the clock prior. For each calibration, we used lognormal prior distribution for fossils with mean of 0 and standard deviation of 0.5, and normal prior </w:t>
      </w:r>
      <w:r w:rsidRPr="00266486">
        <w:rPr>
          <w:color w:val="000000" w:themeColor="text1"/>
        </w:rPr>
        <w:lastRenderedPageBreak/>
        <w:t xml:space="preserve">distribution for the secondary calibration at crown Eudicot with mean of 0 and sigma </w:t>
      </w:r>
      <w:r w:rsidRPr="00266486">
        <w:t>of 1. Offset for each calibration was listed in Supplemental Table S</w:t>
      </w:r>
      <w:r>
        <w:rPr>
          <w:rFonts w:hint="eastAsia"/>
        </w:rPr>
        <w:t>3</w:t>
      </w:r>
      <w:r w:rsidRPr="00266486">
        <w:t>. We have tested Yale and Birth-Death (BD) models for the tree prior and the BD model showing better performance on convergence was used for the full analyses presented here. We fixed the tree topology to our model phylogeny (Figure 1), and performed two independent runs with 10,000,000 generations for the estimations. The effective</w:t>
      </w:r>
      <w:r w:rsidRPr="00266486">
        <w:rPr>
          <w:color w:val="000000" w:themeColor="text1"/>
        </w:rPr>
        <w:t xml:space="preserve"> sample size (ESS) was evaluated using Tracer v.1.6 </w:t>
      </w:r>
      <w:r>
        <w:rPr>
          <w:noProof/>
          <w:color w:val="000000" w:themeColor="text1"/>
        </w:rPr>
        <w:t>(Rambaut et al., 2014)</w:t>
      </w:r>
      <w:r w:rsidRPr="00266486">
        <w:rPr>
          <w:color w:val="000000" w:themeColor="text1"/>
        </w:rPr>
        <w:t xml:space="preserve"> and independent runs with the same settings (calibration sets) were combined using LogCombinder </w:t>
      </w:r>
      <w:r>
        <w:rPr>
          <w:noProof/>
          <w:color w:val="000000" w:themeColor="text1"/>
        </w:rPr>
        <w:t>(Bouckaert et al., 2014; Drummond et al., 2012)</w:t>
      </w:r>
      <w:r w:rsidRPr="00266486">
        <w:rPr>
          <w:color w:val="000000" w:themeColor="text1"/>
        </w:rPr>
        <w:t xml:space="preserve">. The chronograms with mean ages and 95% highest posterior distribution (HPD) of each node were generated using TreeAnnotator </w:t>
      </w:r>
      <w:r>
        <w:rPr>
          <w:noProof/>
          <w:color w:val="000000" w:themeColor="text1"/>
        </w:rPr>
        <w:t>(Bouckaert et al., 2014; Drummond et al., 2012)</w:t>
      </w:r>
      <w:r w:rsidRPr="00266486">
        <w:rPr>
          <w:color w:val="000000" w:themeColor="text1"/>
        </w:rPr>
        <w:t xml:space="preserve"> with the first 20 percent trees discarded as burnin.</w:t>
      </w:r>
    </w:p>
    <w:p w:rsidR="00EA1186" w:rsidRPr="00266486" w:rsidRDefault="00EA1186" w:rsidP="00EA1186">
      <w:pPr>
        <w:spacing w:after="180" w:line="340" w:lineRule="exact"/>
        <w:jc w:val="both"/>
        <w:rPr>
          <w:rFonts w:eastAsia="Times New Roman"/>
          <w:b/>
        </w:rPr>
      </w:pPr>
      <w:r w:rsidRPr="00266486">
        <w:rPr>
          <w:rFonts w:eastAsia="Times New Roman"/>
          <w:b/>
        </w:rPr>
        <w:t>Analyses for net diversification rate shifts</w:t>
      </w:r>
    </w:p>
    <w:p w:rsidR="00EA1186" w:rsidRPr="00266486" w:rsidRDefault="00EA1186" w:rsidP="00EA1186">
      <w:pPr>
        <w:autoSpaceDE w:val="0"/>
        <w:autoSpaceDN w:val="0"/>
        <w:adjustRightInd w:val="0"/>
        <w:spacing w:after="180" w:line="340" w:lineRule="exact"/>
        <w:ind w:firstLine="425"/>
        <w:jc w:val="both"/>
      </w:pPr>
      <w:r w:rsidRPr="00266486">
        <w:rPr>
          <w:color w:val="000000" w:themeColor="text1"/>
        </w:rPr>
        <w:t xml:space="preserve">We used MEDUSA </w:t>
      </w:r>
      <w:r>
        <w:rPr>
          <w:noProof/>
          <w:color w:val="000000" w:themeColor="text1"/>
        </w:rPr>
        <w:t>(Alfaro et al., 2009)</w:t>
      </w:r>
      <w:r w:rsidRPr="00266486">
        <w:rPr>
          <w:color w:val="000000" w:themeColor="text1"/>
        </w:rPr>
        <w:t xml:space="preserve"> implemented in geiger package </w:t>
      </w:r>
      <w:r>
        <w:rPr>
          <w:noProof/>
          <w:color w:val="000000" w:themeColor="text1"/>
        </w:rPr>
        <w:t>(Harmon et al., 2008)</w:t>
      </w:r>
      <w:r w:rsidRPr="00266486">
        <w:rPr>
          <w:color w:val="000000" w:themeColor="text1"/>
        </w:rPr>
        <w:t xml:space="preserve"> of R </w:t>
      </w:r>
      <w:r>
        <w:rPr>
          <w:noProof/>
          <w:color w:val="000000" w:themeColor="text1"/>
        </w:rPr>
        <w:t>(R Core Team, 2016)</w:t>
      </w:r>
      <w:r w:rsidRPr="00266486">
        <w:rPr>
          <w:color w:val="000000" w:themeColor="text1"/>
        </w:rPr>
        <w:t xml:space="preserve"> as well as the two algorithms (time-variable and -constant algorithms) in BAMM v2.5 </w:t>
      </w:r>
      <w:r>
        <w:rPr>
          <w:noProof/>
          <w:color w:val="000000" w:themeColor="text1"/>
        </w:rPr>
        <w:t>(Rabosky, 2014; Rabosky et al., 2014a)</w:t>
      </w:r>
      <w:r w:rsidRPr="00266486">
        <w:rPr>
          <w:color w:val="000000" w:themeColor="text1"/>
        </w:rPr>
        <w:t xml:space="preserve"> (http:// bamm-project.org/ last accessed Nov. 06, 2016) to estimate the diversification rate shifts within Asteraceae. For analyses with MEDUSA, chronogram resulting from r8s set 1 was collapsed into tribes and was used as input tree, whereas the species numbers of each tribe were assigned as tip richness </w:t>
      </w:r>
      <w:r>
        <w:rPr>
          <w:noProof/>
          <w:color w:val="000000" w:themeColor="text1"/>
        </w:rPr>
        <w:t>(Anderberg et al., 2007)</w:t>
      </w:r>
      <w:r w:rsidRPr="00266486">
        <w:rPr>
          <w:color w:val="000000" w:themeColor="text1"/>
        </w:rPr>
        <w:t xml:space="preserve">(also see </w:t>
      </w:r>
      <w:r w:rsidRPr="00266486">
        <w:t>Figure S28). We set mixed model when performing the estimation and the Yule model was chosen for all the nodes except the root; so we also set the model to birth-death model and the result was similar to those from Yule (Figure S29). Corrected AIC criterion was used to validate the shifts, whereas the appropriate AICC-threshold for a tree of 47 tips is 2.735994.</w:t>
      </w:r>
    </w:p>
    <w:p w:rsidR="00EA1186" w:rsidRPr="00266486" w:rsidRDefault="00EA1186" w:rsidP="00EA1186">
      <w:pPr>
        <w:spacing w:after="180" w:line="340" w:lineRule="exact"/>
        <w:ind w:firstLine="425"/>
        <w:jc w:val="both"/>
        <w:rPr>
          <w:color w:val="000000" w:themeColor="text1"/>
        </w:rPr>
      </w:pPr>
      <w:r w:rsidRPr="00266486">
        <w:rPr>
          <w:color w:val="000000" w:themeColor="text1"/>
        </w:rPr>
        <w:t xml:space="preserve">For BAMM analyses, chronogram from r8s analysis with calibration set 1 was used as input tree with the inclusion of sampling fraction data, which contained the percentage of sampled species (i.e. the number of tips in our tree) of each tribe </w:t>
      </w:r>
      <w:r w:rsidRPr="00266486">
        <w:t>(Table S5). The values of lamdaInitPrior, lamdaShiftPrior and</w:t>
      </w:r>
      <w:r w:rsidRPr="00266486">
        <w:rPr>
          <w:color w:val="000000" w:themeColor="text1"/>
        </w:rPr>
        <w:t xml:space="preserve"> muInitPrior were determined by setBAMMpriors function implemented in BAMMtools </w:t>
      </w:r>
      <w:r>
        <w:rPr>
          <w:noProof/>
          <w:color w:val="000000" w:themeColor="text1"/>
        </w:rPr>
        <w:t>(Rabosky et al., 2014b)</w:t>
      </w:r>
      <w:r w:rsidRPr="00266486">
        <w:rPr>
          <w:color w:val="000000" w:themeColor="text1"/>
        </w:rPr>
        <w:t xml:space="preserve"> with our input tree. The poisson rate prior was set to 1; we have also tested the setting of 0.1 and the results were similar. We performed two independent runs with 10,000,000 generations for each analytical set (time-variable and -constant algorithms). The convergence and effective sample size (ESS) were examined by using coda package </w:t>
      </w:r>
      <w:r>
        <w:rPr>
          <w:noProof/>
          <w:color w:val="000000" w:themeColor="text1"/>
        </w:rPr>
        <w:t>(Plummer et al., 2006)</w:t>
      </w:r>
      <w:r w:rsidRPr="00266486">
        <w:rPr>
          <w:color w:val="000000" w:themeColor="text1"/>
        </w:rPr>
        <w:t xml:space="preserve">, and the result from BAMM was analyzed using BAMMtools </w:t>
      </w:r>
      <w:r>
        <w:rPr>
          <w:noProof/>
          <w:color w:val="000000" w:themeColor="text1"/>
        </w:rPr>
        <w:t>(Rabosky et al., 2014b)</w:t>
      </w:r>
      <w:r w:rsidRPr="00266486">
        <w:rPr>
          <w:color w:val="000000" w:themeColor="text1"/>
        </w:rPr>
        <w:t xml:space="preserve"> in R </w:t>
      </w:r>
      <w:r>
        <w:rPr>
          <w:noProof/>
          <w:color w:val="000000" w:themeColor="text1"/>
        </w:rPr>
        <w:t>(R Core Team, 2016)</w:t>
      </w:r>
      <w:r w:rsidRPr="00266486">
        <w:rPr>
          <w:color w:val="000000" w:themeColor="text1"/>
        </w:rPr>
        <w:t xml:space="preserve"> with burnin of 0.2, expected number of shifts of 1, and threshold of 100 (in fact, setting threshold to 5 or 100 gives identical conclusion). Color</w:t>
      </w:r>
      <w:r>
        <w:rPr>
          <w:color w:val="000000" w:themeColor="text1"/>
        </w:rPr>
        <w:t>s</w:t>
      </w:r>
      <w:r w:rsidRPr="00266486">
        <w:rPr>
          <w:color w:val="000000" w:themeColor="text1"/>
        </w:rPr>
        <w:t xml:space="preserve"> for branches illustrating rate dynamics were</w:t>
      </w:r>
      <w:r>
        <w:rPr>
          <w:color w:val="000000" w:themeColor="text1"/>
        </w:rPr>
        <w:t xml:space="preserve"> obtained</w:t>
      </w:r>
      <w:r w:rsidRPr="00266486">
        <w:rPr>
          <w:color w:val="000000" w:themeColor="text1"/>
        </w:rPr>
        <w:t xml:space="preserve"> using jenk method.</w:t>
      </w:r>
    </w:p>
    <w:p w:rsidR="00EA1186" w:rsidRPr="00266486" w:rsidRDefault="00EA1186" w:rsidP="00EA1186">
      <w:pPr>
        <w:spacing w:after="180" w:line="340" w:lineRule="exact"/>
        <w:jc w:val="both"/>
        <w:rPr>
          <w:b/>
          <w:lang w:eastAsia="zh-TW"/>
        </w:rPr>
      </w:pPr>
    </w:p>
    <w:p w:rsidR="00EA1186" w:rsidRPr="00266486" w:rsidRDefault="00EA1186" w:rsidP="00EA1186">
      <w:pPr>
        <w:spacing w:after="180" w:line="340" w:lineRule="exact"/>
        <w:jc w:val="both"/>
        <w:rPr>
          <w:b/>
          <w:lang w:eastAsia="zh-TW"/>
        </w:rPr>
      </w:pPr>
      <w:r w:rsidRPr="00266486">
        <w:rPr>
          <w:b/>
          <w:lang w:eastAsia="zh-TW"/>
        </w:rPr>
        <w:t>A phylogenomic analysis for gene duplications</w:t>
      </w:r>
    </w:p>
    <w:p w:rsidR="00EA1186" w:rsidRPr="00266486" w:rsidRDefault="00EA1186" w:rsidP="00EA1186">
      <w:pPr>
        <w:spacing w:after="180" w:line="340" w:lineRule="exact"/>
        <w:ind w:firstLine="425"/>
        <w:jc w:val="both"/>
        <w:rPr>
          <w:lang w:eastAsia="zh-TW"/>
        </w:rPr>
      </w:pPr>
      <w:r w:rsidRPr="00266486">
        <w:rPr>
          <w:lang w:eastAsia="zh-TW"/>
        </w:rPr>
        <w:t xml:space="preserve">In our previous study </w:t>
      </w:r>
      <w:r>
        <w:rPr>
          <w:noProof/>
          <w:lang w:eastAsia="zh-TW"/>
        </w:rPr>
        <w:t>(Huang et al., 2016b)</w:t>
      </w:r>
      <w:r w:rsidRPr="00266486">
        <w:rPr>
          <w:lang w:eastAsia="zh-TW"/>
        </w:rPr>
        <w:t xml:space="preserve">, we have identified 6059 OGs </w:t>
      </w:r>
      <w:r>
        <w:rPr>
          <w:lang w:eastAsia="zh-TW"/>
        </w:rPr>
        <w:t>after</w:t>
      </w:r>
      <w:r w:rsidRPr="00266486">
        <w:rPr>
          <w:lang w:eastAsia="zh-TW"/>
        </w:rPr>
        <w:t xml:space="preserve"> clustering all contigs in 102 transcriptomes (76 Asteraceae and 26 outgroups) using OrthoMCL v1.4 </w:t>
      </w:r>
      <w:r>
        <w:rPr>
          <w:noProof/>
          <w:lang w:eastAsia="zh-TW"/>
        </w:rPr>
        <w:t>(Li et al., 2003)</w:t>
      </w:r>
      <w:r w:rsidRPr="00266486">
        <w:rPr>
          <w:lang w:eastAsia="zh-TW"/>
        </w:rPr>
        <w:t xml:space="preserve"> and discard those with sequences less than 100 bp (for details see </w:t>
      </w:r>
      <w:r>
        <w:rPr>
          <w:noProof/>
          <w:lang w:eastAsia="zh-TW"/>
        </w:rPr>
        <w:t>Huang et al. (2016b</w:t>
      </w:r>
      <w:hyperlink w:anchor="_ENREF_22" w:tooltip="Huang, 2016 #112" w:history="1"/>
      <w:r w:rsidRPr="00266486">
        <w:rPr>
          <w:lang w:eastAsia="zh-TW"/>
        </w:rPr>
        <w:t xml:space="preserve">). In this study, we used the 6059 OGs as template to search their orthologous sequences using </w:t>
      </w:r>
      <w:r>
        <w:rPr>
          <w:lang w:eastAsia="zh-TW"/>
        </w:rPr>
        <w:t>BLAST</w:t>
      </w:r>
      <w:r w:rsidRPr="00266486">
        <w:rPr>
          <w:lang w:eastAsia="zh-TW"/>
        </w:rPr>
        <w:t xml:space="preserve"> with e</w:t>
      </w:r>
      <w:r w:rsidRPr="00266486">
        <w:rPr>
          <w:vertAlign w:val="superscript"/>
          <w:lang w:eastAsia="zh-TW"/>
        </w:rPr>
        <w:t>-5</w:t>
      </w:r>
      <w:r w:rsidRPr="00266486">
        <w:rPr>
          <w:lang w:eastAsia="zh-TW"/>
        </w:rPr>
        <w:t xml:space="preserve">, and then chose those with identity &gt; 50%, matched alignment &gt; 150 bp and number of genes in each OG &gt; 50, remaining in 5282 OGs used in following reconstruction and mapping procedures. Gene trees were reconstructed using FastTree v2.1.4 </w:t>
      </w:r>
      <w:r>
        <w:rPr>
          <w:noProof/>
          <w:lang w:eastAsia="zh-TW"/>
        </w:rPr>
        <w:t>(Price et al., 2009; Price et al., 2010)</w:t>
      </w:r>
      <w:r w:rsidRPr="00266486">
        <w:rPr>
          <w:lang w:eastAsia="zh-TW"/>
        </w:rPr>
        <w:t xml:space="preserve">, and then the nodes of gene duplication in each gene tree were mapped and counted at the corresponding nodes in the organismal tree by using script developed by J.Q. Nodes of gene duplications have to meet the requirements as described in our previous studies </w:t>
      </w:r>
      <w:r>
        <w:rPr>
          <w:noProof/>
          <w:lang w:eastAsia="zh-TW"/>
        </w:rPr>
        <w:t>(Huang et al., 2016b)</w:t>
      </w:r>
      <w:r w:rsidRPr="00266486">
        <w:rPr>
          <w:lang w:eastAsia="zh-TW"/>
        </w:rPr>
        <w:t xml:space="preserve"> that only those with more than two species in each of the subclades of the node, which have bootstrap support higher than </w:t>
      </w:r>
      <w:r>
        <w:rPr>
          <w:lang w:eastAsia="zh-TW"/>
        </w:rPr>
        <w:t>7</w:t>
      </w:r>
      <w:r w:rsidRPr="00266486">
        <w:rPr>
          <w:lang w:eastAsia="zh-TW"/>
        </w:rPr>
        <w:t xml:space="preserve">0, were recognized and recorded in the corresponding nodes in the organismal tree. </w:t>
      </w:r>
      <w:r>
        <w:rPr>
          <w:lang w:eastAsia="zh-TW"/>
        </w:rPr>
        <w:t>As indicated above, o</w:t>
      </w:r>
      <w:r w:rsidRPr="00266486">
        <w:rPr>
          <w:lang w:eastAsia="zh-TW"/>
        </w:rPr>
        <w:t xml:space="preserve">nly </w:t>
      </w:r>
      <w:r>
        <w:rPr>
          <w:lang w:eastAsia="zh-TW"/>
        </w:rPr>
        <w:t xml:space="preserve">the GD clusters </w:t>
      </w:r>
      <w:r w:rsidRPr="00266486">
        <w:rPr>
          <w:lang w:eastAsia="zh-TW"/>
        </w:rPr>
        <w:t>with</w:t>
      </w:r>
      <w:r>
        <w:rPr>
          <w:lang w:eastAsia="zh-TW"/>
        </w:rPr>
        <w:t xml:space="preserve"> &gt;400 </w:t>
      </w:r>
      <w:r w:rsidRPr="00266486">
        <w:rPr>
          <w:lang w:eastAsia="zh-TW"/>
        </w:rPr>
        <w:t>gene duplicate</w:t>
      </w:r>
      <w:r>
        <w:rPr>
          <w:lang w:eastAsia="zh-TW"/>
        </w:rPr>
        <w:t>s, which account for</w:t>
      </w:r>
      <w:r w:rsidRPr="00266486">
        <w:rPr>
          <w:lang w:eastAsia="zh-TW"/>
        </w:rPr>
        <w:t xml:space="preserve"> &gt;</w:t>
      </w:r>
      <w:r>
        <w:rPr>
          <w:lang w:eastAsia="zh-TW"/>
        </w:rPr>
        <w:t>10</w:t>
      </w:r>
      <w:r w:rsidRPr="00266486">
        <w:rPr>
          <w:lang w:eastAsia="zh-TW"/>
        </w:rPr>
        <w:t xml:space="preserve">% </w:t>
      </w:r>
      <w:r>
        <w:rPr>
          <w:lang w:eastAsia="zh-TW"/>
        </w:rPr>
        <w:t xml:space="preserve">of gene </w:t>
      </w:r>
      <w:r w:rsidRPr="00266486">
        <w:rPr>
          <w:lang w:eastAsia="zh-TW"/>
        </w:rPr>
        <w:t>families</w:t>
      </w:r>
      <w:r>
        <w:rPr>
          <w:lang w:eastAsia="zh-TW"/>
        </w:rPr>
        <w:t>, and &gt;40% of</w:t>
      </w:r>
      <w:r w:rsidRPr="00266486">
        <w:rPr>
          <w:lang w:eastAsia="zh-TW"/>
        </w:rPr>
        <w:t xml:space="preserve"> </w:t>
      </w:r>
      <w:r>
        <w:rPr>
          <w:lang w:eastAsia="zh-TW"/>
        </w:rPr>
        <w:t xml:space="preserve">the detected GDs are type I ratio </w:t>
      </w:r>
      <w:r w:rsidRPr="00266486">
        <w:rPr>
          <w:lang w:eastAsia="zh-TW"/>
        </w:rPr>
        <w:t xml:space="preserve">were </w:t>
      </w:r>
      <w:r>
        <w:rPr>
          <w:lang w:eastAsia="zh-TW"/>
        </w:rPr>
        <w:t>considered as strong evidence for WGD and are shown</w:t>
      </w:r>
      <w:r w:rsidRPr="00266486">
        <w:rPr>
          <w:lang w:eastAsia="zh-TW"/>
        </w:rPr>
        <w:t xml:space="preserve"> in Figure </w:t>
      </w:r>
      <w:r>
        <w:rPr>
          <w:lang w:eastAsia="zh-TW"/>
        </w:rPr>
        <w:t>4</w:t>
      </w:r>
      <w:r w:rsidRPr="00266486">
        <w:rPr>
          <w:lang w:eastAsia="zh-TW"/>
        </w:rPr>
        <w:t>.</w:t>
      </w:r>
      <w:r>
        <w:rPr>
          <w:lang w:eastAsia="zh-TW"/>
        </w:rPr>
        <w:t xml:space="preserve"> WGD3 was an exception which has only 301 GDs (thus considered a candidate WGD), but shown in Figure 4 to compare with WGD4. In addition, other clusters were considered as evidence for candidate WGDs, when GD #</w:t>
      </w:r>
      <w:r w:rsidRPr="00266486">
        <w:rPr>
          <w:lang w:eastAsia="zh-TW"/>
        </w:rPr>
        <w:t xml:space="preserve"> </w:t>
      </w:r>
      <w:r>
        <w:rPr>
          <w:lang w:eastAsia="zh-TW"/>
        </w:rPr>
        <w:t xml:space="preserve">&gt;200 and the GD # was </w:t>
      </w:r>
      <w:r w:rsidRPr="00266486">
        <w:rPr>
          <w:lang w:eastAsia="zh-TW"/>
        </w:rPr>
        <w:t xml:space="preserve">&gt; </w:t>
      </w:r>
      <w:r>
        <w:rPr>
          <w:lang w:eastAsia="zh-TW"/>
        </w:rPr>
        <w:t>5</w:t>
      </w:r>
      <w:r w:rsidRPr="00266486">
        <w:rPr>
          <w:lang w:eastAsia="zh-TW"/>
        </w:rPr>
        <w:t xml:space="preserve">% </w:t>
      </w:r>
      <w:r>
        <w:rPr>
          <w:lang w:eastAsia="zh-TW"/>
        </w:rPr>
        <w:t>of the</w:t>
      </w:r>
      <w:r w:rsidRPr="00266486">
        <w:rPr>
          <w:lang w:eastAsia="zh-TW"/>
        </w:rPr>
        <w:t xml:space="preserve"> gene families</w:t>
      </w:r>
      <w:r>
        <w:rPr>
          <w:lang w:eastAsia="zh-TW"/>
        </w:rPr>
        <w:t xml:space="preserve">. For those nodes with only two species, more stringent criteria were employed, (1) the two species need to be from different genera, and (2) GD # &gt;400 and &gt;5% of gene families. </w:t>
      </w:r>
    </w:p>
    <w:p w:rsidR="00EA1186" w:rsidRPr="00266486" w:rsidRDefault="00EA1186" w:rsidP="00EA1186">
      <w:pPr>
        <w:spacing w:after="180" w:line="340" w:lineRule="exact"/>
        <w:jc w:val="both"/>
        <w:rPr>
          <w:rFonts w:eastAsia="Times New Roman"/>
          <w:b/>
        </w:rPr>
      </w:pPr>
      <w:r w:rsidRPr="00266486">
        <w:rPr>
          <w:rFonts w:eastAsia="Times New Roman"/>
          <w:b/>
        </w:rPr>
        <w:t>Reconstruction of ancestral states of morphological characters</w:t>
      </w:r>
    </w:p>
    <w:p w:rsidR="00EA1186" w:rsidRPr="00266486" w:rsidRDefault="00EA1186" w:rsidP="00EA1186">
      <w:pPr>
        <w:spacing w:after="180" w:line="340" w:lineRule="exact"/>
        <w:ind w:firstLine="425"/>
        <w:jc w:val="both"/>
        <w:rPr>
          <w:color w:val="000000" w:themeColor="text1"/>
        </w:rPr>
      </w:pPr>
      <w:r>
        <w:rPr>
          <w:color w:val="000000" w:themeColor="text1"/>
        </w:rPr>
        <w:t>Seven</w:t>
      </w:r>
      <w:r w:rsidRPr="00C75C6E">
        <w:rPr>
          <w:color w:val="000000" w:themeColor="text1"/>
        </w:rPr>
        <w:t xml:space="preserve"> characters including habit (woody [0] or herbaceous [1]), </w:t>
      </w:r>
      <w:r>
        <w:rPr>
          <w:color w:val="000000" w:themeColor="text1"/>
        </w:rPr>
        <w:t>inflore</w:t>
      </w:r>
      <w:r w:rsidRPr="00C75C6E">
        <w:rPr>
          <w:color w:val="000000" w:themeColor="text1"/>
        </w:rPr>
        <w:t xml:space="preserve">scence (solitary [0] or </w:t>
      </w:r>
      <w:r>
        <w:rPr>
          <w:color w:val="000000" w:themeColor="text1"/>
        </w:rPr>
        <w:t>capitulescence</w:t>
      </w:r>
      <w:r w:rsidRPr="00C75C6E">
        <w:rPr>
          <w:color w:val="000000" w:themeColor="text1"/>
        </w:rPr>
        <w:t xml:space="preserve"> [1]), capitul</w:t>
      </w:r>
      <w:r>
        <w:rPr>
          <w:color w:val="000000" w:themeColor="text1"/>
        </w:rPr>
        <w:t>um</w:t>
      </w:r>
      <w:r w:rsidRPr="00C75C6E">
        <w:rPr>
          <w:color w:val="000000" w:themeColor="text1"/>
        </w:rPr>
        <w:t xml:space="preserve"> sex</w:t>
      </w:r>
      <w:r>
        <w:rPr>
          <w:color w:val="000000" w:themeColor="text1"/>
        </w:rPr>
        <w:t>ual</w:t>
      </w:r>
      <w:r w:rsidRPr="00C75C6E">
        <w:rPr>
          <w:color w:val="000000" w:themeColor="text1"/>
        </w:rPr>
        <w:t xml:space="preserve"> differentiation (homogenous [1] or heterogenous [2]), capitul</w:t>
      </w:r>
      <w:r>
        <w:rPr>
          <w:color w:val="000000" w:themeColor="text1"/>
        </w:rPr>
        <w:t>um</w:t>
      </w:r>
      <w:r w:rsidRPr="00C75C6E">
        <w:rPr>
          <w:color w:val="000000" w:themeColor="text1"/>
        </w:rPr>
        <w:t xml:space="preserve"> type (discoid [0], </w:t>
      </w:r>
      <w:r>
        <w:rPr>
          <w:color w:val="000000" w:themeColor="text1"/>
        </w:rPr>
        <w:t xml:space="preserve">disciform [1], </w:t>
      </w:r>
      <w:r w:rsidRPr="00C75C6E">
        <w:rPr>
          <w:color w:val="000000" w:themeColor="text1"/>
        </w:rPr>
        <w:t>radiate [2],</w:t>
      </w:r>
      <w:r>
        <w:rPr>
          <w:color w:val="000000" w:themeColor="text1"/>
        </w:rPr>
        <w:t xml:space="preserve"> </w:t>
      </w:r>
      <w:r w:rsidRPr="00C75C6E">
        <w:rPr>
          <w:color w:val="000000" w:themeColor="text1"/>
        </w:rPr>
        <w:t>radiant [3]</w:t>
      </w:r>
      <w:r>
        <w:rPr>
          <w:color w:val="000000" w:themeColor="text1"/>
        </w:rPr>
        <w:t xml:space="preserve">, </w:t>
      </w:r>
      <w:r>
        <w:rPr>
          <w:rFonts w:hint="eastAsia"/>
          <w:color w:val="000000" w:themeColor="text1"/>
        </w:rPr>
        <w:t>radiate-like</w:t>
      </w:r>
      <w:r>
        <w:rPr>
          <w:color w:val="000000" w:themeColor="text1"/>
        </w:rPr>
        <w:t xml:space="preserve"> [4] or ligulate [5]</w:t>
      </w:r>
      <w:r w:rsidRPr="00C75C6E">
        <w:rPr>
          <w:color w:val="000000" w:themeColor="text1"/>
        </w:rPr>
        <w:t>), corollas in a capitul</w:t>
      </w:r>
      <w:r>
        <w:rPr>
          <w:rFonts w:hint="eastAsia"/>
          <w:color w:val="000000" w:themeColor="text1"/>
        </w:rPr>
        <w:t>um</w:t>
      </w:r>
      <w:r w:rsidRPr="00C75C6E">
        <w:rPr>
          <w:color w:val="000000" w:themeColor="text1"/>
        </w:rPr>
        <w:t xml:space="preserve"> (iso</w:t>
      </w:r>
      <w:r>
        <w:rPr>
          <w:color w:val="000000" w:themeColor="text1"/>
        </w:rPr>
        <w:t>m</w:t>
      </w:r>
      <w:r w:rsidRPr="00C75C6E">
        <w:rPr>
          <w:color w:val="000000" w:themeColor="text1"/>
        </w:rPr>
        <w:t>or</w:t>
      </w:r>
      <w:r>
        <w:rPr>
          <w:color w:val="000000" w:themeColor="text1"/>
        </w:rPr>
        <w:t>ph</w:t>
      </w:r>
      <w:r w:rsidRPr="00C75C6E">
        <w:rPr>
          <w:color w:val="000000" w:themeColor="text1"/>
        </w:rPr>
        <w:t>ic [0] or heteromorphic [1]), pappus (absent [0], capillary [1], scaly [2], or plumose [3]), and receptac</w:t>
      </w:r>
      <w:r>
        <w:rPr>
          <w:color w:val="000000" w:themeColor="text1"/>
        </w:rPr>
        <w:t>u</w:t>
      </w:r>
      <w:r w:rsidRPr="00C75C6E">
        <w:rPr>
          <w:color w:val="000000" w:themeColor="text1"/>
        </w:rPr>
        <w:t>l</w:t>
      </w:r>
      <w:r>
        <w:rPr>
          <w:color w:val="000000" w:themeColor="text1"/>
        </w:rPr>
        <w:t>ar bract</w:t>
      </w:r>
      <w:r w:rsidRPr="00C75C6E">
        <w:rPr>
          <w:color w:val="000000" w:themeColor="text1"/>
        </w:rPr>
        <w:t xml:space="preserve"> (epaleate [0] or paleate [1]) were selected and coded for character evolution analyses. </w:t>
      </w:r>
      <w:r>
        <w:rPr>
          <w:color w:val="000000" w:themeColor="text1"/>
        </w:rPr>
        <w:t xml:space="preserve">Morphological terms used here are mostly following their definitions by </w:t>
      </w:r>
      <w:r>
        <w:rPr>
          <w:noProof/>
          <w:color w:val="000000" w:themeColor="text1"/>
        </w:rPr>
        <w:t>Roque et al. (2009</w:t>
      </w:r>
      <w:r>
        <w:rPr>
          <w:color w:val="000000" w:themeColor="text1"/>
        </w:rPr>
        <w:t xml:space="preserve"> except a narrower definition of radiate capitulum (see Results and Discussion). F</w:t>
      </w:r>
      <w:r w:rsidRPr="00C75C6E">
        <w:rPr>
          <w:color w:val="000000" w:themeColor="text1"/>
        </w:rPr>
        <w:t xml:space="preserve">loral characters </w:t>
      </w:r>
      <w:r>
        <w:rPr>
          <w:color w:val="000000" w:themeColor="text1"/>
        </w:rPr>
        <w:t>were emphasized</w:t>
      </w:r>
      <w:r w:rsidRPr="00C75C6E">
        <w:rPr>
          <w:color w:val="000000" w:themeColor="text1"/>
        </w:rPr>
        <w:t xml:space="preserve"> because they are diverse and of great systematic values for Asteraceae. Morphological information of those characters for each taxon was mainly obtained from the genus descriptions used in </w:t>
      </w:r>
      <w:r>
        <w:rPr>
          <w:noProof/>
          <w:color w:val="000000" w:themeColor="text1"/>
        </w:rPr>
        <w:t>Anderberg et al. (2007</w:t>
      </w:r>
      <w:r>
        <w:rPr>
          <w:color w:val="000000" w:themeColor="text1"/>
        </w:rPr>
        <w:t xml:space="preserve"> with additional reference to the descriptions and drawings of the genera in </w:t>
      </w:r>
      <w:r>
        <w:rPr>
          <w:rFonts w:hint="eastAsia"/>
          <w:color w:val="000000" w:themeColor="text1"/>
        </w:rPr>
        <w:t>M</w:t>
      </w:r>
      <w:r>
        <w:rPr>
          <w:color w:val="000000" w:themeColor="text1"/>
        </w:rPr>
        <w:t xml:space="preserve">utisioideae </w:t>
      </w:r>
      <w:r w:rsidRPr="00442DB1">
        <w:rPr>
          <w:i/>
          <w:iCs/>
          <w:color w:val="000000" w:themeColor="text1"/>
        </w:rPr>
        <w:t>s.l</w:t>
      </w:r>
      <w:r>
        <w:rPr>
          <w:color w:val="000000" w:themeColor="text1"/>
        </w:rPr>
        <w:t xml:space="preserve">. by </w:t>
      </w:r>
      <w:r>
        <w:rPr>
          <w:noProof/>
          <w:color w:val="000000" w:themeColor="text1"/>
        </w:rPr>
        <w:t xml:space="preserve">Katinas et </w:t>
      </w:r>
      <w:r>
        <w:rPr>
          <w:noProof/>
          <w:color w:val="000000" w:themeColor="text1"/>
        </w:rPr>
        <w:lastRenderedPageBreak/>
        <w:t>al. (2008</w:t>
      </w:r>
      <w:r>
        <w:rPr>
          <w:color w:val="000000" w:themeColor="text1"/>
        </w:rPr>
        <w:t xml:space="preserve"> and </w:t>
      </w:r>
      <w:r w:rsidRPr="000E2084">
        <w:rPr>
          <w:i/>
          <w:color w:val="000000" w:themeColor="text1"/>
        </w:rPr>
        <w:t>Famatinanthus</w:t>
      </w:r>
      <w:r>
        <w:rPr>
          <w:color w:val="000000" w:themeColor="text1"/>
        </w:rPr>
        <w:t xml:space="preserve"> described </w:t>
      </w:r>
      <w:r w:rsidRPr="00442DB1">
        <w:rPr>
          <w:color w:val="000000" w:themeColor="text1"/>
        </w:rPr>
        <w:t>by</w:t>
      </w:r>
      <w:r w:rsidRPr="00C75C6E">
        <w:rPr>
          <w:color w:val="000000" w:themeColor="text1"/>
        </w:rPr>
        <w:t xml:space="preserve"> </w:t>
      </w:r>
      <w:r>
        <w:rPr>
          <w:noProof/>
          <w:color w:val="000000" w:themeColor="text1"/>
        </w:rPr>
        <w:t>Freire et al. (2014</w:t>
      </w:r>
      <w:r w:rsidRPr="00C75C6E">
        <w:rPr>
          <w:color w:val="000000" w:themeColor="text1"/>
        </w:rPr>
        <w:t>.</w:t>
      </w:r>
      <w:r>
        <w:rPr>
          <w:color w:val="000000" w:themeColor="text1"/>
        </w:rPr>
        <w:t xml:space="preserve"> </w:t>
      </w:r>
      <w:r>
        <w:rPr>
          <w:rFonts w:hint="eastAsia"/>
          <w:color w:val="000000" w:themeColor="text1"/>
        </w:rPr>
        <w:t xml:space="preserve">The coded character states of </w:t>
      </w:r>
      <w:r w:rsidRPr="00812FAF">
        <w:rPr>
          <w:rFonts w:hint="eastAsia"/>
          <w:i/>
          <w:color w:val="000000" w:themeColor="text1"/>
        </w:rPr>
        <w:t>Dicoma</w:t>
      </w:r>
      <w:r>
        <w:rPr>
          <w:rFonts w:hint="eastAsia"/>
          <w:color w:val="000000" w:themeColor="text1"/>
        </w:rPr>
        <w:t xml:space="preserve"> and </w:t>
      </w:r>
      <w:r w:rsidRPr="00812FAF">
        <w:rPr>
          <w:rFonts w:hint="eastAsia"/>
          <w:i/>
          <w:color w:val="000000" w:themeColor="text1"/>
        </w:rPr>
        <w:t>Liabum</w:t>
      </w:r>
      <w:r>
        <w:rPr>
          <w:rFonts w:hint="eastAsia"/>
          <w:color w:val="000000" w:themeColor="text1"/>
        </w:rPr>
        <w:t xml:space="preserve"> </w:t>
      </w:r>
      <w:r>
        <w:rPr>
          <w:color w:val="000000" w:themeColor="text1"/>
        </w:rPr>
        <w:t>we</w:t>
      </w:r>
      <w:r>
        <w:rPr>
          <w:rFonts w:hint="eastAsia"/>
          <w:color w:val="000000" w:themeColor="text1"/>
        </w:rPr>
        <w:t xml:space="preserve">re </w:t>
      </w:r>
      <w:r>
        <w:rPr>
          <w:color w:val="000000" w:themeColor="text1"/>
        </w:rPr>
        <w:t xml:space="preserve">used to represent </w:t>
      </w:r>
      <w:r>
        <w:rPr>
          <w:rFonts w:hint="eastAsia"/>
          <w:color w:val="000000" w:themeColor="text1"/>
        </w:rPr>
        <w:t>those of Dicomeae and Liabeae, respectively.</w:t>
      </w:r>
      <w:r>
        <w:rPr>
          <w:color w:val="000000" w:themeColor="text1"/>
        </w:rPr>
        <w:t xml:space="preserve"> </w:t>
      </w:r>
      <w:r w:rsidRPr="00C75C6E">
        <w:rPr>
          <w:color w:val="000000" w:themeColor="text1"/>
        </w:rPr>
        <w:t>The outgroup taxa of Goodeniaceae and Menyanthaceae were removed from the analyses because most character states do not exist for them.</w:t>
      </w:r>
    </w:p>
    <w:p w:rsidR="00EA1186" w:rsidRPr="00266486" w:rsidRDefault="00EA1186" w:rsidP="00EA1186">
      <w:pPr>
        <w:spacing w:after="180" w:line="340" w:lineRule="exact"/>
        <w:jc w:val="both"/>
        <w:rPr>
          <w:b/>
          <w:color w:val="000000" w:themeColor="text1"/>
        </w:rPr>
      </w:pPr>
      <w:r w:rsidRPr="00266486">
        <w:rPr>
          <w:b/>
          <w:color w:val="000000" w:themeColor="text1"/>
        </w:rPr>
        <w:t>Supplemental Figure Legends</w:t>
      </w:r>
    </w:p>
    <w:p w:rsidR="00EA1186" w:rsidRDefault="00EA1186" w:rsidP="00EA1186">
      <w:pPr>
        <w:spacing w:after="180" w:line="340" w:lineRule="exact"/>
        <w:rPr>
          <w:b/>
          <w:lang w:eastAsia="zh-TW"/>
        </w:rPr>
      </w:pPr>
      <w:bookmarkStart w:id="0" w:name="_GoBack"/>
      <w:r w:rsidRPr="007B3C57">
        <w:rPr>
          <w:b/>
          <w:lang w:eastAsia="zh-TW"/>
        </w:rPr>
        <w:t>Figure S1. Comparison of Asteraceae phylogenies at trib</w:t>
      </w:r>
      <w:r>
        <w:rPr>
          <w:rFonts w:hint="eastAsia"/>
          <w:b/>
        </w:rPr>
        <w:t>al</w:t>
      </w:r>
      <w:r w:rsidRPr="007B3C57">
        <w:rPr>
          <w:b/>
          <w:lang w:eastAsia="zh-TW"/>
        </w:rPr>
        <w:t xml:space="preserve"> level.</w:t>
      </w:r>
      <w:bookmarkEnd w:id="0"/>
      <w:r w:rsidRPr="007B3C57">
        <w:rPr>
          <w:b/>
          <w:lang w:eastAsia="zh-TW"/>
        </w:rPr>
        <w:br/>
      </w:r>
      <w:r w:rsidRPr="00907C60">
        <w:rPr>
          <w:bCs/>
          <w:lang w:eastAsia="zh-TW"/>
        </w:rPr>
        <w:t>The tax</w:t>
      </w:r>
      <w:r>
        <w:rPr>
          <w:bCs/>
          <w:lang w:eastAsia="zh-TW"/>
        </w:rPr>
        <w:t>on</w:t>
      </w:r>
      <w:r w:rsidRPr="00907C60">
        <w:rPr>
          <w:bCs/>
          <w:lang w:eastAsia="zh-TW"/>
        </w:rPr>
        <w:t xml:space="preserve"> names in maroon are present in Mandel et al. (2019)</w:t>
      </w:r>
      <w:r>
        <w:rPr>
          <w:rFonts w:hint="eastAsia"/>
          <w:bCs/>
        </w:rPr>
        <w:t xml:space="preserve"> not in this study</w:t>
      </w:r>
      <w:r w:rsidRPr="00907C60">
        <w:rPr>
          <w:bCs/>
          <w:lang w:eastAsia="zh-TW"/>
        </w:rPr>
        <w:t>, while those in green are present in this study</w:t>
      </w:r>
      <w:r>
        <w:rPr>
          <w:rFonts w:hint="eastAsia"/>
          <w:bCs/>
        </w:rPr>
        <w:t xml:space="preserve"> not in Mandel et </w:t>
      </w:r>
      <w:r>
        <w:rPr>
          <w:bCs/>
        </w:rPr>
        <w:t>al</w:t>
      </w:r>
      <w:r>
        <w:rPr>
          <w:rFonts w:hint="eastAsia"/>
          <w:bCs/>
        </w:rPr>
        <w:t>. (2019)</w:t>
      </w:r>
      <w:r>
        <w:rPr>
          <w:bCs/>
        </w:rPr>
        <w:t xml:space="preserve"> and those in blue are not included in </w:t>
      </w:r>
      <w:r w:rsidRPr="00907C60">
        <w:rPr>
          <w:bCs/>
          <w:lang w:eastAsia="zh-TW"/>
        </w:rPr>
        <w:t>Mandel et al. (2019)</w:t>
      </w:r>
      <w:r>
        <w:rPr>
          <w:rFonts w:hint="eastAsia"/>
          <w:bCs/>
        </w:rPr>
        <w:t xml:space="preserve"> </w:t>
      </w:r>
      <w:r>
        <w:rPr>
          <w:bCs/>
        </w:rPr>
        <w:t>nor in</w:t>
      </w:r>
      <w:r>
        <w:rPr>
          <w:rFonts w:hint="eastAsia"/>
          <w:bCs/>
        </w:rPr>
        <w:t xml:space="preserve"> this study</w:t>
      </w:r>
      <w:r w:rsidRPr="00907C60">
        <w:rPr>
          <w:bCs/>
          <w:lang w:eastAsia="zh-TW"/>
        </w:rPr>
        <w:t>. Subfamily abbreviations: Aster, Asteroideae; Ci-I, Cichorioideae I; Ci-II, Cichorioideae II; Ca-I, Carduoideae I; Ca-II, Carduoideae II; Muti, Mutisioideae</w:t>
      </w:r>
      <w:r>
        <w:rPr>
          <w:bCs/>
        </w:rPr>
        <w:t xml:space="preserve">. Subclades in tribes: Arctotideae I, Arctotidinae; Arctotideae II, Gorteriinae; Arctotideae III, </w:t>
      </w:r>
      <w:r w:rsidRPr="00052769">
        <w:rPr>
          <w:bCs/>
          <w:i/>
        </w:rPr>
        <w:t>Heterolepis</w:t>
      </w:r>
      <w:r>
        <w:rPr>
          <w:bCs/>
        </w:rPr>
        <w:t xml:space="preserve">; </w:t>
      </w:r>
      <w:r w:rsidRPr="00452855">
        <w:rPr>
          <w:bCs/>
        </w:rPr>
        <w:t>Neurolaeneae I</w:t>
      </w:r>
      <w:r>
        <w:rPr>
          <w:bCs/>
        </w:rPr>
        <w:t xml:space="preserve">, </w:t>
      </w:r>
      <w:r w:rsidRPr="00452855">
        <w:rPr>
          <w:bCs/>
        </w:rPr>
        <w:t>Neurolaeneae</w:t>
      </w:r>
      <w:r>
        <w:rPr>
          <w:bCs/>
        </w:rPr>
        <w:t xml:space="preserve"> excluding </w:t>
      </w:r>
      <w:r w:rsidRPr="00627873">
        <w:rPr>
          <w:bCs/>
          <w:i/>
        </w:rPr>
        <w:t>Enydra</w:t>
      </w:r>
      <w:r>
        <w:rPr>
          <w:bCs/>
        </w:rPr>
        <w:t>;</w:t>
      </w:r>
      <w:r w:rsidRPr="00452855">
        <w:rPr>
          <w:bCs/>
        </w:rPr>
        <w:t xml:space="preserve"> Neurolaeneae </w:t>
      </w:r>
      <w:r>
        <w:rPr>
          <w:bCs/>
        </w:rPr>
        <w:t>I</w:t>
      </w:r>
      <w:r w:rsidRPr="00452855">
        <w:rPr>
          <w:bCs/>
        </w:rPr>
        <w:t>I</w:t>
      </w:r>
      <w:r>
        <w:rPr>
          <w:bCs/>
        </w:rPr>
        <w:t xml:space="preserve">, </w:t>
      </w:r>
      <w:r w:rsidRPr="00052769">
        <w:rPr>
          <w:bCs/>
          <w:i/>
        </w:rPr>
        <w:t>Enydra</w:t>
      </w:r>
      <w:r>
        <w:rPr>
          <w:bCs/>
        </w:rPr>
        <w:t xml:space="preserve">; Millerieae I, Millerieae excluding </w:t>
      </w:r>
      <w:r w:rsidRPr="00627873">
        <w:rPr>
          <w:bCs/>
          <w:i/>
        </w:rPr>
        <w:t>Guardiola</w:t>
      </w:r>
      <w:r>
        <w:rPr>
          <w:bCs/>
        </w:rPr>
        <w:t xml:space="preserve">; Millerieae II, </w:t>
      </w:r>
      <w:r w:rsidRPr="00052769">
        <w:rPr>
          <w:bCs/>
          <w:i/>
        </w:rPr>
        <w:t>Guardiola</w:t>
      </w:r>
      <w:r w:rsidRPr="00907C60">
        <w:rPr>
          <w:bCs/>
          <w:lang w:eastAsia="zh-TW"/>
        </w:rPr>
        <w:t xml:space="preserve">. Four among the subfamily-level clades with multiple tribes are </w:t>
      </w:r>
      <w:r>
        <w:rPr>
          <w:bCs/>
          <w:lang w:eastAsia="zh-TW"/>
        </w:rPr>
        <w:t>highlighted</w:t>
      </w:r>
      <w:r w:rsidRPr="00907C60">
        <w:rPr>
          <w:bCs/>
          <w:lang w:eastAsia="zh-TW"/>
        </w:rPr>
        <w:t xml:space="preserve"> with different colored backgrounds.</w:t>
      </w:r>
      <w:r>
        <w:rPr>
          <w:bCs/>
          <w:lang w:eastAsia="zh-TW"/>
        </w:rPr>
        <w:t xml:space="preserve"> </w:t>
      </w:r>
      <w:r w:rsidRPr="002C6E78">
        <w:rPr>
          <w:bCs/>
          <w:lang w:eastAsia="zh-TW"/>
        </w:rPr>
        <w:t>Support value</w:t>
      </w:r>
      <w:r>
        <w:rPr>
          <w:rFonts w:hint="eastAsia"/>
          <w:bCs/>
        </w:rPr>
        <w:t>s</w:t>
      </w:r>
      <w:r>
        <w:rPr>
          <w:bCs/>
        </w:rPr>
        <w:t xml:space="preserve"> </w:t>
      </w:r>
      <w:r>
        <w:rPr>
          <w:rFonts w:hint="eastAsia"/>
          <w:bCs/>
        </w:rPr>
        <w:t>(%)</w:t>
      </w:r>
      <w:r w:rsidRPr="002C6E78">
        <w:rPr>
          <w:bCs/>
          <w:lang w:eastAsia="zh-TW"/>
        </w:rPr>
        <w:t xml:space="preserve"> less than 80</w:t>
      </w:r>
      <w:r>
        <w:rPr>
          <w:bCs/>
          <w:lang w:eastAsia="zh-TW"/>
        </w:rPr>
        <w:t xml:space="preserve"> </w:t>
      </w:r>
      <w:r w:rsidRPr="002C6E78">
        <w:rPr>
          <w:bCs/>
          <w:lang w:eastAsia="zh-TW"/>
        </w:rPr>
        <w:t>are given.</w:t>
      </w:r>
      <w:r>
        <w:rPr>
          <w:bCs/>
          <w:lang w:eastAsia="zh-TW"/>
        </w:rPr>
        <w:t xml:space="preserve"> Dashed lines indicate </w:t>
      </w:r>
      <w:r>
        <w:rPr>
          <w:rFonts w:hint="eastAsia"/>
          <w:bCs/>
        </w:rPr>
        <w:t>in</w:t>
      </w:r>
      <w:r>
        <w:rPr>
          <w:bCs/>
        </w:rPr>
        <w:t xml:space="preserve">consistent </w:t>
      </w:r>
      <w:r>
        <w:rPr>
          <w:bCs/>
          <w:lang w:eastAsia="zh-TW"/>
        </w:rPr>
        <w:t xml:space="preserve">relationships among different analyses in this study. * </w:t>
      </w:r>
      <w:r w:rsidRPr="00571B82">
        <w:rPr>
          <w:bCs/>
          <w:i/>
        </w:rPr>
        <w:t xml:space="preserve">Jaumea </w:t>
      </w:r>
      <w:r>
        <w:rPr>
          <w:bCs/>
        </w:rPr>
        <w:t xml:space="preserve">sampled in this study but not in Mandel et al. (2019) is excluded for comparison. ** including </w:t>
      </w:r>
      <w:r w:rsidRPr="00571B82">
        <w:rPr>
          <w:bCs/>
          <w:i/>
        </w:rPr>
        <w:t>Calendula arvensis</w:t>
      </w:r>
      <w:r w:rsidRPr="00571B82">
        <w:rPr>
          <w:bCs/>
        </w:rPr>
        <w:t>, a species of tribe Calenduleae,</w:t>
      </w:r>
      <w:r w:rsidRPr="002C6E78">
        <w:rPr>
          <w:bCs/>
        </w:rPr>
        <w:t xml:space="preserve"> in</w:t>
      </w:r>
      <w:r>
        <w:rPr>
          <w:bCs/>
        </w:rPr>
        <w:t xml:space="preserve"> Mandel et al. (2019).</w:t>
      </w:r>
    </w:p>
    <w:p w:rsidR="00EA1186" w:rsidRPr="00266486" w:rsidRDefault="00EA1186" w:rsidP="00EA1186">
      <w:pPr>
        <w:spacing w:after="180" w:line="340" w:lineRule="exact"/>
        <w:rPr>
          <w:b/>
          <w:lang w:eastAsia="zh-TW"/>
        </w:rPr>
      </w:pPr>
      <w:r w:rsidRPr="00266486">
        <w:rPr>
          <w:b/>
          <w:lang w:eastAsia="zh-TW"/>
        </w:rPr>
        <w:t>Figure S</w:t>
      </w:r>
      <w:r>
        <w:rPr>
          <w:b/>
          <w:lang w:eastAsia="zh-TW"/>
        </w:rPr>
        <w:t>2</w:t>
      </w:r>
      <w:r w:rsidRPr="00266486">
        <w:rPr>
          <w:b/>
          <w:lang w:eastAsia="zh-TW"/>
        </w:rPr>
        <w:t xml:space="preserve">. Flow chart for gene selection approaches (A) and guide species trees (B and C) for gene selection. </w:t>
      </w:r>
      <w:r w:rsidRPr="00266486">
        <w:rPr>
          <w:b/>
          <w:lang w:eastAsia="zh-TW"/>
        </w:rPr>
        <w:br/>
      </w:r>
      <w:r w:rsidRPr="00266486">
        <w:rPr>
          <w:lang w:eastAsia="zh-TW"/>
        </w:rPr>
        <w:t>A. Each blue rectangle represent a gene set starting with the 4180 O</w:t>
      </w:r>
      <w:r>
        <w:rPr>
          <w:lang w:eastAsia="zh-TW"/>
        </w:rPr>
        <w:t>G</w:t>
      </w:r>
      <w:r w:rsidRPr="00266486">
        <w:rPr>
          <w:lang w:eastAsia="zh-TW"/>
        </w:rPr>
        <w:t xml:space="preserve">s (orthogroups, indicated with an asterisk) as described in the Supplemental Information. Gene sets 1-11 are indicated by a number within one of the other blue rectangles. Selection criteria are briefly indicated, with more information provided in the Supplemental Information. Gene set 3 with 175 genes from </w:t>
      </w:r>
      <w:r>
        <w:rPr>
          <w:noProof/>
          <w:lang w:eastAsia="zh-TW"/>
        </w:rPr>
        <w:t>Huang et al. (2016b</w:t>
      </w:r>
      <w:r>
        <w:rPr>
          <w:lang w:eastAsia="zh-TW"/>
        </w:rPr>
        <w:t xml:space="preserve"> </w:t>
      </w:r>
      <w:r w:rsidRPr="00266486">
        <w:rPr>
          <w:lang w:eastAsia="zh-TW"/>
        </w:rPr>
        <w:t>is indicated with two asterisks (SCOS, single-copy orthologous set). OGs, orthogroups.</w:t>
      </w:r>
      <w:r w:rsidRPr="00266486">
        <w:rPr>
          <w:lang w:eastAsia="zh-TW"/>
        </w:rPr>
        <w:br/>
        <w:t>B. A guide tree for selection gene set 2. Names of tribes are indicated to the right of the species names. Only the monophyly of Asteraceae and the included tribes are used; these relationships are supported by both the previous molecular phylogenies and the nuclear phylogeny here.</w:t>
      </w:r>
      <w:r w:rsidRPr="00266486">
        <w:rPr>
          <w:lang w:eastAsia="zh-TW"/>
        </w:rPr>
        <w:br/>
        <w:t>C. A guide tree used in a late step shown in part A, with monophyly for Asteraceae and the largest subfamily Asteroideae, both strongly supported by previous results and the analyses here. Ten genes in gene set 9 that were not consistent with this tree were removed, resulting in gene set 11, which was used for both coalescent and ML analyses.</w:t>
      </w:r>
    </w:p>
    <w:p w:rsidR="00EA1186" w:rsidRDefault="00EA1186" w:rsidP="00EA1186">
      <w:pPr>
        <w:spacing w:after="180" w:line="340" w:lineRule="exact"/>
        <w:jc w:val="both"/>
        <w:rPr>
          <w:b/>
          <w:lang w:eastAsia="zh-TW"/>
        </w:rPr>
      </w:pPr>
      <w:r w:rsidRPr="00266486">
        <w:rPr>
          <w:b/>
          <w:lang w:eastAsia="zh-TW"/>
        </w:rPr>
        <w:lastRenderedPageBreak/>
        <w:t>Figure S</w:t>
      </w:r>
      <w:r>
        <w:rPr>
          <w:b/>
          <w:lang w:eastAsia="zh-TW"/>
        </w:rPr>
        <w:t>3</w:t>
      </w:r>
      <w:r w:rsidRPr="00266486">
        <w:rPr>
          <w:b/>
          <w:lang w:eastAsia="zh-TW"/>
        </w:rPr>
        <w:t xml:space="preserve">. Phylogenetic tree of Asteraceae using coalescent analysis with gene set 1 of 847 genes. </w:t>
      </w:r>
    </w:p>
    <w:p w:rsidR="00EA1186" w:rsidRPr="00266486" w:rsidRDefault="00EA1186" w:rsidP="00EA1186">
      <w:pPr>
        <w:spacing w:after="180" w:line="340" w:lineRule="exact"/>
        <w:jc w:val="both"/>
        <w:rPr>
          <w:lang w:eastAsia="zh-TW"/>
        </w:rPr>
      </w:pPr>
      <w:r w:rsidRPr="00266486">
        <w:rPr>
          <w:lang w:eastAsia="zh-TW"/>
        </w:rPr>
        <w:t xml:space="preserve">Subfamilies are indicated on the right and highlighted with different background colors; tribes are marked with a vertical thick line, with names shown to the right of species names. Non-monophyletic subfamilies and tribes are shown with numbers I and II after the previous subfamily and tribe names. Bootstrap values of 100 are not shown, with those less than 100 shown next to the line for the lineage. </w:t>
      </w:r>
    </w:p>
    <w:p w:rsidR="00EA1186" w:rsidRPr="00266486" w:rsidRDefault="00EA1186" w:rsidP="00EA1186">
      <w:pPr>
        <w:spacing w:after="180" w:line="340" w:lineRule="exact"/>
        <w:jc w:val="both"/>
        <w:rPr>
          <w:b/>
          <w:lang w:eastAsia="zh-TW"/>
        </w:rPr>
      </w:pPr>
      <w:r w:rsidRPr="00266486">
        <w:rPr>
          <w:b/>
          <w:lang w:eastAsia="zh-TW"/>
        </w:rPr>
        <w:t>Figure S</w:t>
      </w:r>
      <w:r>
        <w:rPr>
          <w:b/>
          <w:lang w:eastAsia="zh-TW"/>
        </w:rPr>
        <w:t>4</w:t>
      </w:r>
      <w:r w:rsidRPr="00266486">
        <w:rPr>
          <w:b/>
          <w:lang w:eastAsia="zh-TW"/>
        </w:rPr>
        <w:t xml:space="preserve">. Phylogenetic tree of Asteraceae using coalescent analysis with gene set 2 of 177 genes. </w:t>
      </w:r>
      <w:r w:rsidRPr="00266486">
        <w:rPr>
          <w:lang w:eastAsia="zh-TW"/>
        </w:rPr>
        <w:t>See Figure S2 legend for explanations.</w:t>
      </w:r>
    </w:p>
    <w:p w:rsidR="00EA1186" w:rsidRPr="00266486" w:rsidRDefault="00EA1186" w:rsidP="00EA1186">
      <w:pPr>
        <w:spacing w:after="180" w:line="340" w:lineRule="exact"/>
        <w:jc w:val="both"/>
        <w:rPr>
          <w:b/>
          <w:lang w:eastAsia="zh-TW"/>
        </w:rPr>
      </w:pPr>
      <w:r w:rsidRPr="00266486">
        <w:rPr>
          <w:b/>
          <w:lang w:eastAsia="zh-TW"/>
        </w:rPr>
        <w:t>Figure S</w:t>
      </w:r>
      <w:r>
        <w:rPr>
          <w:b/>
          <w:lang w:eastAsia="zh-TW"/>
        </w:rPr>
        <w:t>5</w:t>
      </w:r>
      <w:r w:rsidRPr="00266486">
        <w:rPr>
          <w:b/>
          <w:lang w:eastAsia="zh-TW"/>
        </w:rPr>
        <w:t xml:space="preserve">. Phylogenetic tree of Asteraceae using coalescent analysis with gene set 3 of 175 genes. </w:t>
      </w:r>
      <w:r w:rsidRPr="00266486">
        <w:rPr>
          <w:lang w:eastAsia="zh-TW"/>
        </w:rPr>
        <w:t>See Figure S2 legend for explanations.</w:t>
      </w:r>
    </w:p>
    <w:p w:rsidR="00EA1186" w:rsidRPr="00266486" w:rsidRDefault="00EA1186" w:rsidP="00EA1186">
      <w:pPr>
        <w:spacing w:after="180" w:line="340" w:lineRule="exact"/>
        <w:jc w:val="both"/>
        <w:rPr>
          <w:b/>
          <w:lang w:eastAsia="zh-TW"/>
        </w:rPr>
      </w:pPr>
      <w:r w:rsidRPr="00266486">
        <w:rPr>
          <w:b/>
          <w:lang w:eastAsia="zh-TW"/>
        </w:rPr>
        <w:t>Figure S</w:t>
      </w:r>
      <w:r>
        <w:rPr>
          <w:b/>
          <w:lang w:eastAsia="zh-TW"/>
        </w:rPr>
        <w:t>6</w:t>
      </w:r>
      <w:r w:rsidRPr="00266486">
        <w:rPr>
          <w:b/>
          <w:lang w:eastAsia="zh-TW"/>
        </w:rPr>
        <w:t xml:space="preserve">. Phylogenetic tree of Asteraceae using coalescent analysis with gene set 4 of 1087 genes. </w:t>
      </w:r>
      <w:r w:rsidRPr="00266486">
        <w:rPr>
          <w:lang w:eastAsia="zh-TW"/>
        </w:rPr>
        <w:t>See Figure S2 legend for explanations.</w:t>
      </w:r>
    </w:p>
    <w:p w:rsidR="00EA1186" w:rsidRPr="00266486" w:rsidRDefault="00EA1186" w:rsidP="00EA1186">
      <w:pPr>
        <w:spacing w:after="180" w:line="340" w:lineRule="exact"/>
        <w:jc w:val="both"/>
        <w:rPr>
          <w:b/>
          <w:lang w:eastAsia="zh-TW"/>
        </w:rPr>
      </w:pPr>
      <w:r w:rsidRPr="00266486">
        <w:rPr>
          <w:b/>
          <w:lang w:eastAsia="zh-TW"/>
        </w:rPr>
        <w:t>Figure S</w:t>
      </w:r>
      <w:r>
        <w:rPr>
          <w:b/>
          <w:lang w:eastAsia="zh-TW"/>
        </w:rPr>
        <w:t>7</w:t>
      </w:r>
      <w:r w:rsidRPr="00266486">
        <w:rPr>
          <w:b/>
          <w:lang w:eastAsia="zh-TW"/>
        </w:rPr>
        <w:t xml:space="preserve">. Phylogenetic tree of Asteraceae using coalescent analysis with gene set 5 of 649 genes. </w:t>
      </w:r>
      <w:r w:rsidRPr="00266486">
        <w:rPr>
          <w:lang w:eastAsia="zh-TW"/>
        </w:rPr>
        <w:t>See Figure S2 legend for explanations.</w:t>
      </w:r>
    </w:p>
    <w:p w:rsidR="00EA1186" w:rsidRPr="00266486" w:rsidRDefault="00EA1186" w:rsidP="00EA1186">
      <w:pPr>
        <w:spacing w:after="180" w:line="340" w:lineRule="exact"/>
        <w:jc w:val="both"/>
        <w:rPr>
          <w:b/>
          <w:lang w:eastAsia="zh-TW"/>
        </w:rPr>
      </w:pPr>
      <w:r w:rsidRPr="00266486">
        <w:rPr>
          <w:b/>
          <w:lang w:eastAsia="zh-TW"/>
        </w:rPr>
        <w:t>Figure S</w:t>
      </w:r>
      <w:r>
        <w:rPr>
          <w:b/>
          <w:lang w:eastAsia="zh-TW"/>
        </w:rPr>
        <w:t>8</w:t>
      </w:r>
      <w:r w:rsidRPr="00266486">
        <w:rPr>
          <w:b/>
          <w:lang w:eastAsia="zh-TW"/>
        </w:rPr>
        <w:t xml:space="preserve">. Phylogenetic tree of Asteraceae using coalescent analysis with gene set 6 of 438 genes. </w:t>
      </w:r>
      <w:r w:rsidRPr="00266486">
        <w:rPr>
          <w:lang w:eastAsia="zh-TW"/>
        </w:rPr>
        <w:t>See Figure S2 legend for explanations.</w:t>
      </w:r>
    </w:p>
    <w:p w:rsidR="00EA1186" w:rsidRPr="00266486" w:rsidRDefault="00EA1186" w:rsidP="00EA1186">
      <w:pPr>
        <w:spacing w:after="180" w:line="340" w:lineRule="exact"/>
        <w:jc w:val="both"/>
        <w:rPr>
          <w:b/>
          <w:lang w:eastAsia="zh-TW"/>
        </w:rPr>
      </w:pPr>
      <w:r w:rsidRPr="00266486">
        <w:rPr>
          <w:b/>
          <w:lang w:eastAsia="zh-TW"/>
        </w:rPr>
        <w:t>Figure S</w:t>
      </w:r>
      <w:r>
        <w:rPr>
          <w:b/>
          <w:lang w:eastAsia="zh-TW"/>
        </w:rPr>
        <w:t>9</w:t>
      </w:r>
      <w:r w:rsidRPr="00266486">
        <w:rPr>
          <w:b/>
          <w:lang w:eastAsia="zh-TW"/>
        </w:rPr>
        <w:t xml:space="preserve">. Phylogenetic tree of Asteraceae using coalescent analysis with gene set 7 of 384 genes. </w:t>
      </w:r>
      <w:r w:rsidRPr="00266486">
        <w:rPr>
          <w:lang w:eastAsia="zh-TW"/>
        </w:rPr>
        <w:t>See Figure S2 legend for explanations.</w:t>
      </w:r>
    </w:p>
    <w:p w:rsidR="00EA1186" w:rsidRPr="00266486" w:rsidRDefault="00EA1186" w:rsidP="00EA1186">
      <w:pPr>
        <w:spacing w:after="180" w:line="340" w:lineRule="exact"/>
        <w:jc w:val="both"/>
        <w:rPr>
          <w:b/>
          <w:lang w:eastAsia="zh-TW"/>
        </w:rPr>
      </w:pPr>
      <w:r w:rsidRPr="00266486">
        <w:rPr>
          <w:b/>
          <w:lang w:eastAsia="zh-TW"/>
        </w:rPr>
        <w:t>Figure S</w:t>
      </w:r>
      <w:r>
        <w:rPr>
          <w:b/>
          <w:lang w:eastAsia="zh-TW"/>
        </w:rPr>
        <w:t>10</w:t>
      </w:r>
      <w:r w:rsidRPr="00266486">
        <w:rPr>
          <w:b/>
          <w:lang w:eastAsia="zh-TW"/>
        </w:rPr>
        <w:t xml:space="preserve">. Phylogenetic tree of Asteraceae using coalescent analysis with gene set 8 of 265 genes. </w:t>
      </w:r>
      <w:r w:rsidRPr="00266486">
        <w:rPr>
          <w:lang w:eastAsia="zh-TW"/>
        </w:rPr>
        <w:t>See Figure S2 legend for explanations.</w:t>
      </w:r>
    </w:p>
    <w:p w:rsidR="00EA1186" w:rsidRPr="00266486" w:rsidRDefault="00EA1186" w:rsidP="00EA1186">
      <w:pPr>
        <w:spacing w:after="180" w:line="340" w:lineRule="exact"/>
        <w:jc w:val="both"/>
        <w:rPr>
          <w:b/>
          <w:lang w:eastAsia="zh-TW"/>
        </w:rPr>
      </w:pPr>
      <w:r w:rsidRPr="00266486">
        <w:rPr>
          <w:b/>
          <w:lang w:eastAsia="zh-TW"/>
        </w:rPr>
        <w:t>Figure S1</w:t>
      </w:r>
      <w:r>
        <w:rPr>
          <w:b/>
          <w:lang w:eastAsia="zh-TW"/>
        </w:rPr>
        <w:t>1</w:t>
      </w:r>
      <w:r w:rsidRPr="00266486">
        <w:rPr>
          <w:b/>
          <w:lang w:eastAsia="zh-TW"/>
        </w:rPr>
        <w:t xml:space="preserve">. Phylogenetic tree of Asteraceae using coalescent analysis with gene set 9 of 202 genes. </w:t>
      </w:r>
      <w:r w:rsidRPr="00266486">
        <w:rPr>
          <w:lang w:eastAsia="zh-TW"/>
        </w:rPr>
        <w:t>See Figure S2 legend for explanations.</w:t>
      </w:r>
    </w:p>
    <w:p w:rsidR="00EA1186" w:rsidRPr="00266486" w:rsidRDefault="00EA1186" w:rsidP="00EA1186">
      <w:pPr>
        <w:spacing w:after="180" w:line="340" w:lineRule="exact"/>
        <w:jc w:val="both"/>
        <w:rPr>
          <w:b/>
          <w:lang w:eastAsia="zh-TW"/>
        </w:rPr>
      </w:pPr>
      <w:r w:rsidRPr="00266486">
        <w:rPr>
          <w:b/>
          <w:lang w:eastAsia="zh-TW"/>
        </w:rPr>
        <w:t>Figure S1</w:t>
      </w:r>
      <w:r>
        <w:rPr>
          <w:b/>
          <w:lang w:eastAsia="zh-TW"/>
        </w:rPr>
        <w:t>2</w:t>
      </w:r>
      <w:r w:rsidRPr="00266486">
        <w:rPr>
          <w:b/>
          <w:lang w:eastAsia="zh-TW"/>
        </w:rPr>
        <w:t xml:space="preserve">. Phylogenetic tree of Asteraceae using coalescent analysis with gene set 11 of 192 genes. </w:t>
      </w:r>
      <w:r w:rsidRPr="00266486">
        <w:rPr>
          <w:lang w:eastAsia="zh-TW"/>
        </w:rPr>
        <w:t>See Figure S2 legend for explanations.</w:t>
      </w:r>
    </w:p>
    <w:p w:rsidR="00EA1186" w:rsidRPr="00266486" w:rsidRDefault="00EA1186" w:rsidP="00EA1186">
      <w:pPr>
        <w:spacing w:after="180" w:line="340" w:lineRule="exact"/>
        <w:jc w:val="both"/>
        <w:rPr>
          <w:b/>
          <w:lang w:eastAsia="zh-TW"/>
        </w:rPr>
      </w:pPr>
      <w:r w:rsidRPr="00266486">
        <w:rPr>
          <w:b/>
          <w:lang w:eastAsia="zh-TW"/>
        </w:rPr>
        <w:t>Figure S1</w:t>
      </w:r>
      <w:r>
        <w:rPr>
          <w:b/>
          <w:lang w:eastAsia="zh-TW"/>
        </w:rPr>
        <w:t>3</w:t>
      </w:r>
      <w:r w:rsidRPr="00266486">
        <w:rPr>
          <w:b/>
          <w:lang w:eastAsia="zh-TW"/>
        </w:rPr>
        <w:t xml:space="preserve">. Phylogenetic tree of Asteraceae using coalescent analysis with gene set 10 of 192 genes. </w:t>
      </w:r>
      <w:r w:rsidRPr="00266486">
        <w:rPr>
          <w:lang w:eastAsia="zh-TW"/>
        </w:rPr>
        <w:t>See Figure S2 legend for explanations.</w:t>
      </w:r>
    </w:p>
    <w:p w:rsidR="00EA1186" w:rsidRPr="00266486" w:rsidRDefault="00EA1186" w:rsidP="00EA1186">
      <w:pPr>
        <w:spacing w:after="180" w:line="340" w:lineRule="exact"/>
        <w:jc w:val="both"/>
        <w:rPr>
          <w:b/>
          <w:lang w:eastAsia="zh-TW"/>
        </w:rPr>
      </w:pPr>
      <w:r w:rsidRPr="00266486">
        <w:rPr>
          <w:b/>
          <w:lang w:eastAsia="zh-TW"/>
        </w:rPr>
        <w:t>Figure S1</w:t>
      </w:r>
      <w:r>
        <w:rPr>
          <w:b/>
          <w:lang w:eastAsia="zh-TW"/>
        </w:rPr>
        <w:t>4</w:t>
      </w:r>
      <w:r w:rsidRPr="00266486">
        <w:rPr>
          <w:b/>
          <w:lang w:eastAsia="zh-TW"/>
        </w:rPr>
        <w:t xml:space="preserve">. Phylogenetic tree of Asteraceae using Maximum Likelihood analysis with gene set 11 of 192 genes. </w:t>
      </w:r>
      <w:r w:rsidRPr="00266486">
        <w:rPr>
          <w:lang w:eastAsia="zh-TW"/>
        </w:rPr>
        <w:t>See Figure S2 legend for explanations.</w:t>
      </w:r>
    </w:p>
    <w:p w:rsidR="00EA1186" w:rsidRPr="00266486" w:rsidRDefault="00EA1186" w:rsidP="00EA1186">
      <w:pPr>
        <w:spacing w:after="180" w:line="340" w:lineRule="exact"/>
        <w:jc w:val="both"/>
        <w:rPr>
          <w:b/>
          <w:lang w:eastAsia="zh-TW"/>
        </w:rPr>
      </w:pPr>
      <w:r w:rsidRPr="00266486">
        <w:rPr>
          <w:b/>
          <w:lang w:eastAsia="zh-TW"/>
        </w:rPr>
        <w:t>Figure S1</w:t>
      </w:r>
      <w:r>
        <w:rPr>
          <w:b/>
          <w:lang w:eastAsia="zh-TW"/>
        </w:rPr>
        <w:t>5</w:t>
      </w:r>
      <w:r w:rsidRPr="00266486">
        <w:rPr>
          <w:b/>
          <w:lang w:eastAsia="zh-TW"/>
        </w:rPr>
        <w:t xml:space="preserve">. A summary of phylogenetic results of Asteraceae using coalescent and ML analyses shown in Figures S2-12. </w:t>
      </w:r>
      <w:r w:rsidRPr="00266486">
        <w:rPr>
          <w:lang w:eastAsia="zh-TW"/>
        </w:rPr>
        <w:t xml:space="preserve">The bootstrap values are shown next to the </w:t>
      </w:r>
      <w:r w:rsidRPr="00266486">
        <w:rPr>
          <w:lang w:eastAsia="zh-TW"/>
        </w:rPr>
        <w:lastRenderedPageBreak/>
        <w:t>corresponding branches, in the same order (and matching colors) as that shown in the small diagram at the upper left part: the numbers indicate the number of genes used in an analysis, ML, Maximum Likelihood; Col, coalescent. The five results above the line (except that from 202 genes) are summarized in Figures 1 and 2. See Figure S2 legend for more information on taxa.</w:t>
      </w:r>
    </w:p>
    <w:p w:rsidR="00EA1186" w:rsidRPr="00266486" w:rsidRDefault="00EA1186" w:rsidP="00EA1186">
      <w:pPr>
        <w:spacing w:after="180" w:line="340" w:lineRule="exact"/>
        <w:jc w:val="both"/>
        <w:rPr>
          <w:b/>
          <w:lang w:eastAsia="zh-TW"/>
        </w:rPr>
      </w:pPr>
      <w:r w:rsidRPr="00266486">
        <w:rPr>
          <w:b/>
          <w:lang w:eastAsia="zh-TW"/>
        </w:rPr>
        <w:t>Figure S1</w:t>
      </w:r>
      <w:r>
        <w:rPr>
          <w:b/>
          <w:lang w:eastAsia="zh-TW"/>
        </w:rPr>
        <w:t>6</w:t>
      </w:r>
      <w:r w:rsidRPr="00266486">
        <w:rPr>
          <w:b/>
          <w:lang w:eastAsia="zh-TW"/>
        </w:rPr>
        <w:t>. Divergence times estimated using r8s (calibration set1).</w:t>
      </w:r>
    </w:p>
    <w:p w:rsidR="00EA1186" w:rsidRPr="00266486" w:rsidRDefault="00EA1186" w:rsidP="00EA1186">
      <w:pPr>
        <w:spacing w:after="180" w:line="340" w:lineRule="exact"/>
        <w:jc w:val="both"/>
        <w:rPr>
          <w:lang w:eastAsia="zh-TW"/>
        </w:rPr>
      </w:pPr>
      <w:r w:rsidRPr="00266486">
        <w:rPr>
          <w:lang w:eastAsia="zh-TW"/>
        </w:rPr>
        <w:t>Values are ages of each node. Calibrations were depicted with red circles. Information of all the constraints is provided in Table S</w:t>
      </w:r>
      <w:r>
        <w:rPr>
          <w:rFonts w:hint="eastAsia"/>
        </w:rPr>
        <w:t>3</w:t>
      </w:r>
      <w:r w:rsidRPr="00266486">
        <w:rPr>
          <w:lang w:eastAsia="zh-TW"/>
        </w:rPr>
        <w:t>.</w:t>
      </w:r>
    </w:p>
    <w:p w:rsidR="00EA1186" w:rsidRPr="00266486" w:rsidRDefault="00EA1186" w:rsidP="00EA1186">
      <w:pPr>
        <w:spacing w:after="180" w:line="340" w:lineRule="exact"/>
        <w:jc w:val="both"/>
        <w:rPr>
          <w:b/>
          <w:lang w:eastAsia="zh-TW"/>
        </w:rPr>
      </w:pPr>
      <w:r w:rsidRPr="00266486">
        <w:rPr>
          <w:b/>
          <w:lang w:eastAsia="zh-TW"/>
        </w:rPr>
        <w:t>Figure S1</w:t>
      </w:r>
      <w:r>
        <w:rPr>
          <w:b/>
          <w:lang w:eastAsia="zh-TW"/>
        </w:rPr>
        <w:t>7</w:t>
      </w:r>
      <w:r w:rsidRPr="00266486">
        <w:rPr>
          <w:b/>
          <w:lang w:eastAsia="zh-TW"/>
        </w:rPr>
        <w:t>. Divergence times estimated using BEAST (calibration set1).</w:t>
      </w:r>
    </w:p>
    <w:p w:rsidR="00EA1186" w:rsidRPr="00266486" w:rsidRDefault="00EA1186" w:rsidP="00EA1186">
      <w:pPr>
        <w:spacing w:after="180" w:line="340" w:lineRule="exact"/>
        <w:jc w:val="both"/>
        <w:rPr>
          <w:lang w:eastAsia="zh-TW"/>
        </w:rPr>
      </w:pPr>
      <w:r w:rsidRPr="00266486">
        <w:rPr>
          <w:lang w:eastAsia="zh-TW"/>
        </w:rPr>
        <w:t xml:space="preserve">Values are mean ages of each node and the blue strips illustrate 95% </w:t>
      </w:r>
      <w:r w:rsidRPr="00266486">
        <w:t>highest posterior distribution</w:t>
      </w:r>
      <w:r w:rsidRPr="00266486">
        <w:rPr>
          <w:lang w:eastAsia="zh-TW"/>
        </w:rPr>
        <w:t xml:space="preserve"> (HPD). Fossil and secondary calibrations were the same as those in r8s analyses of the same calibration set. Information of all the constraints is provided in Table S</w:t>
      </w:r>
      <w:r>
        <w:rPr>
          <w:rFonts w:hint="eastAsia"/>
        </w:rPr>
        <w:t>3</w:t>
      </w:r>
      <w:r w:rsidRPr="00266486">
        <w:rPr>
          <w:lang w:eastAsia="zh-TW"/>
        </w:rPr>
        <w:t>.</w:t>
      </w:r>
    </w:p>
    <w:p w:rsidR="00EA1186" w:rsidRPr="00266486" w:rsidRDefault="00EA1186" w:rsidP="00EA1186">
      <w:pPr>
        <w:spacing w:after="180" w:line="340" w:lineRule="exact"/>
        <w:jc w:val="both"/>
        <w:rPr>
          <w:b/>
          <w:lang w:eastAsia="zh-TW"/>
        </w:rPr>
      </w:pPr>
      <w:r w:rsidRPr="00266486">
        <w:rPr>
          <w:b/>
          <w:lang w:eastAsia="zh-TW"/>
        </w:rPr>
        <w:t>Figure S1</w:t>
      </w:r>
      <w:r>
        <w:rPr>
          <w:b/>
          <w:lang w:eastAsia="zh-TW"/>
        </w:rPr>
        <w:t>8</w:t>
      </w:r>
      <w:r w:rsidRPr="00266486">
        <w:rPr>
          <w:b/>
          <w:lang w:eastAsia="zh-TW"/>
        </w:rPr>
        <w:t>. Divergence times estimated using r8s (calibration set2).</w:t>
      </w:r>
    </w:p>
    <w:p w:rsidR="00EA1186" w:rsidRPr="00266486" w:rsidRDefault="00EA1186" w:rsidP="00EA1186">
      <w:pPr>
        <w:spacing w:after="180" w:line="340" w:lineRule="exact"/>
        <w:jc w:val="both"/>
        <w:rPr>
          <w:lang w:eastAsia="zh-TW"/>
        </w:rPr>
      </w:pPr>
      <w:r w:rsidRPr="00266486">
        <w:rPr>
          <w:lang w:eastAsia="zh-TW"/>
        </w:rPr>
        <w:t xml:space="preserve">See legend of Figure S15. In this calibration set we additionally used </w:t>
      </w:r>
      <w:r w:rsidRPr="00266486">
        <w:rPr>
          <w:i/>
          <w:lang w:eastAsia="zh-TW"/>
        </w:rPr>
        <w:t>Tubulifloridites lilliei</w:t>
      </w:r>
      <w:r w:rsidRPr="00266486">
        <w:rPr>
          <w:lang w:eastAsia="zh-TW"/>
        </w:rPr>
        <w:t xml:space="preserve"> type A fossil pollen </w:t>
      </w:r>
      <w:r>
        <w:rPr>
          <w:noProof/>
          <w:lang w:eastAsia="zh-TW"/>
        </w:rPr>
        <w:t>(Barreda et al., 2015)</w:t>
      </w:r>
      <w:r w:rsidRPr="00266486">
        <w:rPr>
          <w:lang w:eastAsia="zh-TW"/>
        </w:rPr>
        <w:t xml:space="preserve"> at the position depicted with a blue circle (number 9).</w:t>
      </w:r>
    </w:p>
    <w:p w:rsidR="00EA1186" w:rsidRPr="00266486" w:rsidRDefault="00EA1186" w:rsidP="00EA1186">
      <w:pPr>
        <w:spacing w:after="180" w:line="340" w:lineRule="exact"/>
        <w:jc w:val="both"/>
        <w:rPr>
          <w:b/>
          <w:lang w:eastAsia="zh-TW"/>
        </w:rPr>
      </w:pPr>
      <w:r w:rsidRPr="00266486">
        <w:rPr>
          <w:b/>
          <w:lang w:eastAsia="zh-TW"/>
        </w:rPr>
        <w:t>Figure S1</w:t>
      </w:r>
      <w:r>
        <w:rPr>
          <w:b/>
          <w:lang w:eastAsia="zh-TW"/>
        </w:rPr>
        <w:t>9</w:t>
      </w:r>
      <w:r w:rsidRPr="00266486">
        <w:rPr>
          <w:b/>
          <w:lang w:eastAsia="zh-TW"/>
        </w:rPr>
        <w:t>. Divergence times estimated using BEAST (calibration set2).</w:t>
      </w:r>
    </w:p>
    <w:p w:rsidR="00EA1186" w:rsidRPr="00266486" w:rsidRDefault="00EA1186" w:rsidP="00EA1186">
      <w:pPr>
        <w:spacing w:after="180" w:line="340" w:lineRule="exact"/>
        <w:jc w:val="both"/>
        <w:rPr>
          <w:lang w:eastAsia="zh-TW"/>
        </w:rPr>
      </w:pPr>
      <w:r w:rsidRPr="00266486">
        <w:rPr>
          <w:lang w:eastAsia="zh-TW"/>
        </w:rPr>
        <w:t>See legend of Supplemental Figure S16.</w:t>
      </w:r>
    </w:p>
    <w:p w:rsidR="00EA1186" w:rsidRPr="00266486" w:rsidRDefault="00EA1186" w:rsidP="00EA1186">
      <w:pPr>
        <w:spacing w:after="180" w:line="340" w:lineRule="exact"/>
        <w:jc w:val="both"/>
        <w:rPr>
          <w:b/>
          <w:lang w:eastAsia="zh-TW"/>
        </w:rPr>
      </w:pPr>
      <w:r w:rsidRPr="00266486">
        <w:rPr>
          <w:b/>
          <w:lang w:eastAsia="zh-TW"/>
        </w:rPr>
        <w:t>Figure S</w:t>
      </w:r>
      <w:r>
        <w:rPr>
          <w:b/>
          <w:lang w:eastAsia="zh-TW"/>
        </w:rPr>
        <w:t>20</w:t>
      </w:r>
      <w:r w:rsidRPr="00266486">
        <w:rPr>
          <w:b/>
          <w:lang w:eastAsia="zh-TW"/>
        </w:rPr>
        <w:t>. Divergence times estimated using r8s (calibration set3).</w:t>
      </w:r>
    </w:p>
    <w:p w:rsidR="00EA1186" w:rsidRPr="00266486" w:rsidRDefault="00EA1186" w:rsidP="00EA1186">
      <w:pPr>
        <w:spacing w:after="180" w:line="340" w:lineRule="exact"/>
        <w:jc w:val="both"/>
        <w:rPr>
          <w:lang w:eastAsia="zh-TW"/>
        </w:rPr>
      </w:pPr>
      <w:r w:rsidRPr="00266486">
        <w:rPr>
          <w:lang w:eastAsia="zh-TW"/>
        </w:rPr>
        <w:t xml:space="preserve">See legend of Figure S15. In this calibration set we additionally used </w:t>
      </w:r>
      <w:r w:rsidRPr="00266486">
        <w:rPr>
          <w:i/>
          <w:lang w:eastAsia="zh-TW"/>
        </w:rPr>
        <w:t>Tubulifloridites lilliei</w:t>
      </w:r>
      <w:r w:rsidRPr="00266486">
        <w:rPr>
          <w:lang w:eastAsia="zh-TW"/>
        </w:rPr>
        <w:t xml:space="preserve"> type A fossil pollen </w:t>
      </w:r>
      <w:r>
        <w:rPr>
          <w:noProof/>
          <w:lang w:eastAsia="zh-TW"/>
        </w:rPr>
        <w:t>(Barreda et al., 2015)</w:t>
      </w:r>
      <w:r w:rsidRPr="00266486">
        <w:rPr>
          <w:lang w:eastAsia="zh-TW"/>
        </w:rPr>
        <w:t xml:space="preserve"> at the position depicted with a blue circle (number 9).</w:t>
      </w:r>
    </w:p>
    <w:p w:rsidR="00EA1186" w:rsidRPr="00266486" w:rsidRDefault="00EA1186" w:rsidP="00EA1186">
      <w:pPr>
        <w:spacing w:after="180" w:line="340" w:lineRule="exact"/>
        <w:jc w:val="both"/>
        <w:rPr>
          <w:b/>
          <w:lang w:eastAsia="zh-TW"/>
        </w:rPr>
      </w:pPr>
      <w:r w:rsidRPr="00266486">
        <w:rPr>
          <w:b/>
          <w:lang w:eastAsia="zh-TW"/>
        </w:rPr>
        <w:t>Figure S2</w:t>
      </w:r>
      <w:r>
        <w:rPr>
          <w:b/>
          <w:lang w:eastAsia="zh-TW"/>
        </w:rPr>
        <w:t>1</w:t>
      </w:r>
      <w:r w:rsidRPr="00266486">
        <w:rPr>
          <w:b/>
          <w:lang w:eastAsia="zh-TW"/>
        </w:rPr>
        <w:t>. Divergence times estimated using BEAST (calibration set3).</w:t>
      </w:r>
    </w:p>
    <w:p w:rsidR="00EA1186" w:rsidRPr="00266486" w:rsidRDefault="00EA1186" w:rsidP="00EA1186">
      <w:pPr>
        <w:spacing w:after="180" w:line="340" w:lineRule="exact"/>
        <w:jc w:val="both"/>
        <w:rPr>
          <w:lang w:eastAsia="zh-TW"/>
        </w:rPr>
      </w:pPr>
      <w:r w:rsidRPr="00266486">
        <w:rPr>
          <w:lang w:eastAsia="zh-TW"/>
        </w:rPr>
        <w:t>See legend of Figure S16.</w:t>
      </w:r>
    </w:p>
    <w:p w:rsidR="00EA1186" w:rsidRPr="00266486" w:rsidRDefault="00EA1186" w:rsidP="00EA1186">
      <w:pPr>
        <w:spacing w:after="180" w:line="340" w:lineRule="exact"/>
        <w:jc w:val="both"/>
        <w:rPr>
          <w:b/>
          <w:lang w:eastAsia="zh-TW"/>
        </w:rPr>
      </w:pPr>
      <w:r w:rsidRPr="00266486">
        <w:rPr>
          <w:b/>
          <w:lang w:eastAsia="zh-TW"/>
        </w:rPr>
        <w:t>Figure S2</w:t>
      </w:r>
      <w:r>
        <w:rPr>
          <w:b/>
          <w:lang w:eastAsia="zh-TW"/>
        </w:rPr>
        <w:t>2</w:t>
      </w:r>
      <w:r w:rsidRPr="00266486">
        <w:rPr>
          <w:b/>
          <w:lang w:eastAsia="zh-TW"/>
        </w:rPr>
        <w:t>. Divergence times estimated using r8s (calibration set4).</w:t>
      </w:r>
    </w:p>
    <w:p w:rsidR="00EA1186" w:rsidRPr="00266486" w:rsidRDefault="00EA1186" w:rsidP="00EA1186">
      <w:pPr>
        <w:spacing w:after="180" w:line="340" w:lineRule="exact"/>
        <w:jc w:val="both"/>
        <w:rPr>
          <w:lang w:eastAsia="zh-TW"/>
        </w:rPr>
      </w:pPr>
      <w:r w:rsidRPr="00266486">
        <w:rPr>
          <w:lang w:eastAsia="zh-TW"/>
        </w:rPr>
        <w:t xml:space="preserve">See legend of Supplemental Figure S15. In this calibration set we additionally used </w:t>
      </w:r>
      <w:r w:rsidRPr="00266486">
        <w:rPr>
          <w:i/>
          <w:lang w:eastAsia="zh-TW"/>
        </w:rPr>
        <w:t>Tubulifloridites lilliei</w:t>
      </w:r>
      <w:r w:rsidRPr="00266486">
        <w:rPr>
          <w:lang w:eastAsia="zh-TW"/>
        </w:rPr>
        <w:t xml:space="preserve"> type A fossil pollen </w:t>
      </w:r>
      <w:r>
        <w:rPr>
          <w:noProof/>
          <w:lang w:eastAsia="zh-TW"/>
        </w:rPr>
        <w:t>(Barreda et al., 2015)</w:t>
      </w:r>
      <w:r w:rsidRPr="00266486">
        <w:rPr>
          <w:lang w:eastAsia="zh-TW"/>
        </w:rPr>
        <w:t xml:space="preserve"> at the position depicted with a blue circle (number 9).</w:t>
      </w:r>
    </w:p>
    <w:p w:rsidR="00EA1186" w:rsidRPr="00266486" w:rsidRDefault="00EA1186" w:rsidP="00EA1186">
      <w:pPr>
        <w:spacing w:after="180" w:line="340" w:lineRule="exact"/>
        <w:jc w:val="both"/>
        <w:rPr>
          <w:b/>
          <w:lang w:eastAsia="zh-TW"/>
        </w:rPr>
      </w:pPr>
      <w:r w:rsidRPr="00266486">
        <w:rPr>
          <w:b/>
          <w:lang w:eastAsia="zh-TW"/>
        </w:rPr>
        <w:t>Figure S2</w:t>
      </w:r>
      <w:r>
        <w:rPr>
          <w:b/>
          <w:lang w:eastAsia="zh-TW"/>
        </w:rPr>
        <w:t>3</w:t>
      </w:r>
      <w:r w:rsidRPr="00266486">
        <w:rPr>
          <w:b/>
          <w:lang w:eastAsia="zh-TW"/>
        </w:rPr>
        <w:t>. Divergence times estimated using BEAST (calibration set4).</w:t>
      </w:r>
    </w:p>
    <w:p w:rsidR="00EA1186" w:rsidRPr="00266486" w:rsidRDefault="00EA1186" w:rsidP="00EA1186">
      <w:pPr>
        <w:spacing w:after="180" w:line="340" w:lineRule="exact"/>
        <w:jc w:val="both"/>
        <w:rPr>
          <w:lang w:eastAsia="zh-TW"/>
        </w:rPr>
      </w:pPr>
      <w:r w:rsidRPr="00266486">
        <w:rPr>
          <w:lang w:eastAsia="zh-TW"/>
        </w:rPr>
        <w:lastRenderedPageBreak/>
        <w:t>See legend of Figure S16.</w:t>
      </w:r>
    </w:p>
    <w:p w:rsidR="00EA1186" w:rsidRPr="00266486" w:rsidRDefault="00EA1186" w:rsidP="00EA1186">
      <w:pPr>
        <w:spacing w:after="180" w:line="340" w:lineRule="exact"/>
        <w:jc w:val="both"/>
        <w:rPr>
          <w:b/>
          <w:lang w:eastAsia="zh-TW"/>
        </w:rPr>
      </w:pPr>
      <w:r w:rsidRPr="00266486">
        <w:rPr>
          <w:b/>
          <w:lang w:eastAsia="zh-TW"/>
        </w:rPr>
        <w:t>Figure S2</w:t>
      </w:r>
      <w:r>
        <w:rPr>
          <w:b/>
          <w:lang w:eastAsia="zh-TW"/>
        </w:rPr>
        <w:t>4</w:t>
      </w:r>
      <w:r w:rsidRPr="00266486">
        <w:rPr>
          <w:b/>
          <w:lang w:eastAsia="zh-TW"/>
        </w:rPr>
        <w:t>. Divergence times estimated using r8s (calibration set5).</w:t>
      </w:r>
    </w:p>
    <w:p w:rsidR="00EA1186" w:rsidRPr="00266486" w:rsidRDefault="00EA1186" w:rsidP="00EA1186">
      <w:pPr>
        <w:spacing w:after="180" w:line="340" w:lineRule="exact"/>
        <w:jc w:val="both"/>
        <w:rPr>
          <w:lang w:eastAsia="zh-TW"/>
        </w:rPr>
      </w:pPr>
      <w:r w:rsidRPr="00266486">
        <w:rPr>
          <w:lang w:eastAsia="zh-TW"/>
        </w:rPr>
        <w:t xml:space="preserve">See legend of Supplemental Figure S15. In this calibration set we additionally used </w:t>
      </w:r>
      <w:r w:rsidRPr="00266486">
        <w:rPr>
          <w:i/>
          <w:lang w:eastAsia="zh-TW"/>
        </w:rPr>
        <w:t>Tubulifloridites lilliei</w:t>
      </w:r>
      <w:r w:rsidRPr="00266486">
        <w:rPr>
          <w:lang w:eastAsia="zh-TW"/>
        </w:rPr>
        <w:t xml:space="preserve"> type A fossil pollen </w:t>
      </w:r>
      <w:r>
        <w:rPr>
          <w:noProof/>
          <w:lang w:eastAsia="zh-TW"/>
        </w:rPr>
        <w:t>(Barreda et al., 2015)</w:t>
      </w:r>
      <w:r w:rsidRPr="00266486">
        <w:rPr>
          <w:lang w:eastAsia="zh-TW"/>
        </w:rPr>
        <w:t xml:space="preserve"> at the position depicted with a blue circle (number 9).</w:t>
      </w:r>
    </w:p>
    <w:p w:rsidR="00EA1186" w:rsidRPr="00266486" w:rsidRDefault="00EA1186" w:rsidP="00EA1186">
      <w:pPr>
        <w:spacing w:after="180" w:line="340" w:lineRule="exact"/>
        <w:jc w:val="both"/>
        <w:rPr>
          <w:b/>
          <w:lang w:eastAsia="zh-TW"/>
        </w:rPr>
      </w:pPr>
      <w:r w:rsidRPr="00266486">
        <w:rPr>
          <w:b/>
          <w:lang w:eastAsia="zh-TW"/>
        </w:rPr>
        <w:t>Figure S2</w:t>
      </w:r>
      <w:r>
        <w:rPr>
          <w:b/>
          <w:lang w:eastAsia="zh-TW"/>
        </w:rPr>
        <w:t>5</w:t>
      </w:r>
      <w:r w:rsidRPr="00266486">
        <w:rPr>
          <w:b/>
          <w:lang w:eastAsia="zh-TW"/>
        </w:rPr>
        <w:t>. Divergence times estimated using BEAST (calibration set5).</w:t>
      </w:r>
    </w:p>
    <w:p w:rsidR="00EA1186" w:rsidRPr="00266486" w:rsidRDefault="00EA1186" w:rsidP="00EA1186">
      <w:pPr>
        <w:spacing w:after="180" w:line="340" w:lineRule="exact"/>
        <w:jc w:val="both"/>
        <w:rPr>
          <w:lang w:eastAsia="zh-TW"/>
        </w:rPr>
      </w:pPr>
      <w:r w:rsidRPr="00266486">
        <w:rPr>
          <w:lang w:eastAsia="zh-TW"/>
        </w:rPr>
        <w:t>See legend of Figure S16.</w:t>
      </w:r>
    </w:p>
    <w:p w:rsidR="00EA1186" w:rsidRPr="00266486" w:rsidRDefault="00EA1186" w:rsidP="00EA1186">
      <w:pPr>
        <w:spacing w:after="180" w:line="340" w:lineRule="exact"/>
        <w:ind w:left="425" w:hanging="425"/>
        <w:jc w:val="both"/>
        <w:rPr>
          <w:b/>
          <w:lang w:eastAsia="zh-TW"/>
        </w:rPr>
      </w:pPr>
      <w:r w:rsidRPr="00266486">
        <w:rPr>
          <w:b/>
          <w:lang w:eastAsia="zh-TW"/>
        </w:rPr>
        <w:t>Figure S2</w:t>
      </w:r>
      <w:r>
        <w:rPr>
          <w:b/>
          <w:lang w:eastAsia="zh-TW"/>
        </w:rPr>
        <w:t>6</w:t>
      </w:r>
      <w:r w:rsidRPr="00266486">
        <w:rPr>
          <w:b/>
          <w:lang w:eastAsia="zh-TW"/>
        </w:rPr>
        <w:t>. Compari</w:t>
      </w:r>
      <w:r>
        <w:rPr>
          <w:b/>
          <w:lang w:eastAsia="zh-TW"/>
        </w:rPr>
        <w:t>son of</w:t>
      </w:r>
      <w:r w:rsidRPr="00266486">
        <w:rPr>
          <w:b/>
          <w:lang w:eastAsia="zh-TW"/>
        </w:rPr>
        <w:t xml:space="preserve"> ages with calibration sets 1 and 2 using r8s.</w:t>
      </w:r>
    </w:p>
    <w:p w:rsidR="00EA1186" w:rsidRPr="00266486" w:rsidRDefault="00EA1186" w:rsidP="00EA1186">
      <w:pPr>
        <w:autoSpaceDE w:val="0"/>
        <w:autoSpaceDN w:val="0"/>
        <w:adjustRightInd w:val="0"/>
        <w:spacing w:after="180" w:line="340" w:lineRule="exact"/>
        <w:jc w:val="both"/>
        <w:rPr>
          <w:lang w:eastAsia="zh-TW"/>
        </w:rPr>
      </w:pPr>
      <w:r w:rsidRPr="00266486">
        <w:rPr>
          <w:lang w:eastAsia="zh-TW"/>
        </w:rPr>
        <w:t>This figure presents the nodal ages ordered by their ages from set 1 (red). The two nodes with large variations in ages between sets 1 and 2 are MRCA Dasyphyllum-Arnaldoa and crown Barnadesioideae (noted near the points).</w:t>
      </w:r>
    </w:p>
    <w:p w:rsidR="00EA1186" w:rsidRPr="00266486" w:rsidRDefault="00EA1186" w:rsidP="00EA1186">
      <w:pPr>
        <w:spacing w:after="180" w:line="340" w:lineRule="exact"/>
        <w:ind w:left="425" w:hanging="425"/>
        <w:jc w:val="both"/>
        <w:rPr>
          <w:b/>
          <w:lang w:eastAsia="zh-TW"/>
        </w:rPr>
      </w:pPr>
      <w:r w:rsidRPr="00266486">
        <w:rPr>
          <w:b/>
          <w:lang w:eastAsia="zh-TW"/>
        </w:rPr>
        <w:t>Figure S2</w:t>
      </w:r>
      <w:r>
        <w:rPr>
          <w:b/>
          <w:lang w:eastAsia="zh-TW"/>
        </w:rPr>
        <w:t>7</w:t>
      </w:r>
      <w:r w:rsidRPr="00266486">
        <w:rPr>
          <w:b/>
          <w:lang w:eastAsia="zh-TW"/>
        </w:rPr>
        <w:t>. Compari</w:t>
      </w:r>
      <w:r>
        <w:rPr>
          <w:b/>
          <w:lang w:eastAsia="zh-TW"/>
        </w:rPr>
        <w:t>son of</w:t>
      </w:r>
      <w:r w:rsidRPr="00266486">
        <w:rPr>
          <w:b/>
          <w:lang w:eastAsia="zh-TW"/>
        </w:rPr>
        <w:t xml:space="preserve"> ages with calibration sets 1 and 2 using BEAST.</w:t>
      </w:r>
    </w:p>
    <w:p w:rsidR="00EA1186" w:rsidRPr="00266486" w:rsidRDefault="00EA1186" w:rsidP="00EA1186">
      <w:pPr>
        <w:autoSpaceDE w:val="0"/>
        <w:autoSpaceDN w:val="0"/>
        <w:adjustRightInd w:val="0"/>
        <w:spacing w:after="180" w:line="340" w:lineRule="exact"/>
        <w:jc w:val="both"/>
        <w:rPr>
          <w:lang w:eastAsia="zh-TW"/>
        </w:rPr>
      </w:pPr>
      <w:r w:rsidRPr="00266486">
        <w:rPr>
          <w:lang w:eastAsia="zh-TW"/>
        </w:rPr>
        <w:t xml:space="preserve">This figure presents the nodal ages ordered by their ages from calibration set 1 (red). Colored lines show their 95% HPD. The two nodes with large variations in ages between calibration sets 1 and 2 are MRCA </w:t>
      </w:r>
      <w:r w:rsidRPr="00571B82">
        <w:rPr>
          <w:i/>
          <w:lang w:eastAsia="zh-TW"/>
        </w:rPr>
        <w:t>Dasyphyllum</w:t>
      </w:r>
      <w:r w:rsidRPr="00266486">
        <w:rPr>
          <w:lang w:eastAsia="zh-TW"/>
        </w:rPr>
        <w:t>-</w:t>
      </w:r>
      <w:r w:rsidRPr="00571B82">
        <w:rPr>
          <w:i/>
          <w:lang w:eastAsia="zh-TW"/>
        </w:rPr>
        <w:t>Arnaldoa</w:t>
      </w:r>
      <w:r w:rsidRPr="00266486">
        <w:rPr>
          <w:lang w:eastAsia="zh-TW"/>
        </w:rPr>
        <w:t xml:space="preserve"> and crown Barnadesioideae (noted near the points).</w:t>
      </w:r>
    </w:p>
    <w:p w:rsidR="00EA1186" w:rsidRPr="00266486" w:rsidRDefault="00EA1186" w:rsidP="00EA1186">
      <w:pPr>
        <w:spacing w:after="180" w:line="340" w:lineRule="exact"/>
        <w:jc w:val="both"/>
        <w:rPr>
          <w:b/>
          <w:color w:val="000000" w:themeColor="text1"/>
          <w:lang w:eastAsia="zh-TW"/>
        </w:rPr>
      </w:pPr>
      <w:r w:rsidRPr="00266486">
        <w:rPr>
          <w:b/>
          <w:color w:val="000000" w:themeColor="text1"/>
          <w:lang w:eastAsia="zh-TW"/>
        </w:rPr>
        <w:t>Figure S2</w:t>
      </w:r>
      <w:r>
        <w:rPr>
          <w:b/>
          <w:color w:val="000000" w:themeColor="text1"/>
          <w:lang w:eastAsia="zh-TW"/>
        </w:rPr>
        <w:t>8</w:t>
      </w:r>
      <w:r w:rsidRPr="00266486">
        <w:rPr>
          <w:b/>
          <w:color w:val="000000" w:themeColor="text1"/>
          <w:lang w:eastAsia="zh-TW"/>
        </w:rPr>
        <w:t xml:space="preserve">. </w:t>
      </w:r>
      <w:r w:rsidRPr="00266486">
        <w:rPr>
          <w:b/>
          <w:color w:val="000000" w:themeColor="text1"/>
        </w:rPr>
        <w:t xml:space="preserve">Net </w:t>
      </w:r>
      <w:r w:rsidRPr="00266486">
        <w:rPr>
          <w:b/>
          <w:color w:val="000000" w:themeColor="text1"/>
          <w:lang w:eastAsia="zh-TW"/>
        </w:rPr>
        <w:t xml:space="preserve">diversification rate shift </w:t>
      </w:r>
      <w:r>
        <w:rPr>
          <w:b/>
          <w:color w:val="000000" w:themeColor="text1"/>
          <w:lang w:eastAsia="zh-TW"/>
        </w:rPr>
        <w:t>from analysis</w:t>
      </w:r>
      <w:r w:rsidRPr="00266486">
        <w:rPr>
          <w:b/>
          <w:color w:val="000000" w:themeColor="text1"/>
          <w:lang w:eastAsia="zh-TW"/>
        </w:rPr>
        <w:t xml:space="preserve"> by MEDUSA under mixed model.</w:t>
      </w:r>
    </w:p>
    <w:p w:rsidR="00EA1186" w:rsidRPr="00266486" w:rsidRDefault="00EA1186" w:rsidP="00EA1186">
      <w:pPr>
        <w:spacing w:after="180" w:line="340" w:lineRule="exact"/>
        <w:jc w:val="both"/>
        <w:rPr>
          <w:lang w:eastAsia="zh-TW"/>
        </w:rPr>
      </w:pPr>
      <w:r w:rsidRPr="00266486">
        <w:rPr>
          <w:color w:val="000000" w:themeColor="text1"/>
          <w:lang w:eastAsia="zh-TW"/>
        </w:rPr>
        <w:t xml:space="preserve">This figure is the result of MEDUSA analysis using mixed model in the estimation. Colors indicate the diversification rates for branches; branches descending from a shift basically have the same rate (the same branch color) unless there is other shift(s). The </w:t>
      </w:r>
      <w:r w:rsidRPr="00071E13">
        <w:rPr>
          <w:rFonts w:eastAsia="PMingLiU"/>
          <w:color w:val="000000" w:themeColor="text1"/>
          <w:lang w:eastAsia="zh-TW"/>
        </w:rPr>
        <w:t xml:space="preserve">type of a shift (up or down) </w:t>
      </w:r>
      <w:r>
        <w:rPr>
          <w:rFonts w:eastAsia="PMingLiU"/>
          <w:color w:val="000000" w:themeColor="text1"/>
          <w:lang w:eastAsia="zh-TW"/>
        </w:rPr>
        <w:t>wa</w:t>
      </w:r>
      <w:r w:rsidRPr="00071E13">
        <w:rPr>
          <w:rFonts w:eastAsia="PMingLiU"/>
          <w:color w:val="000000" w:themeColor="text1"/>
          <w:lang w:eastAsia="zh-TW"/>
        </w:rPr>
        <w:t xml:space="preserve">s determined by </w:t>
      </w:r>
      <w:r w:rsidRPr="00266486">
        <w:rPr>
          <w:color w:val="000000" w:themeColor="text1"/>
          <w:lang w:eastAsia="zh-TW"/>
        </w:rPr>
        <w:t>comparing rates of branches directly upstream or downstream to the shift</w:t>
      </w:r>
      <w:r w:rsidRPr="00071E13">
        <w:rPr>
          <w:rFonts w:eastAsia="PMingLiU"/>
          <w:color w:val="000000" w:themeColor="text1"/>
          <w:lang w:eastAsia="zh-TW"/>
        </w:rPr>
        <w:t>.</w:t>
      </w:r>
      <w:r w:rsidRPr="00266486">
        <w:rPr>
          <w:color w:val="000000" w:themeColor="text1"/>
          <w:lang w:eastAsia="zh-TW"/>
        </w:rPr>
        <w:t xml:space="preserve"> Red and blue circles are the concluded types of shift nodes with net diversification rate accelerations and slowdowns, respectively. The order of the numbers on the circles </w:t>
      </w:r>
      <w:r>
        <w:rPr>
          <w:color w:val="000000" w:themeColor="text1"/>
          <w:lang w:eastAsia="zh-TW"/>
        </w:rPr>
        <w:t xml:space="preserve">is </w:t>
      </w:r>
      <w:r w:rsidRPr="00266486">
        <w:rPr>
          <w:color w:val="000000" w:themeColor="text1"/>
          <w:lang w:eastAsia="zh-TW"/>
        </w:rPr>
        <w:t>determined by the stepwise AIC procedure. The improved AIC scores (</w:t>
      </w:r>
      <w:r w:rsidRPr="00071E13">
        <w:rPr>
          <w:color w:val="000000" w:themeColor="text1"/>
          <w:lang w:eastAsia="zh-TW"/>
        </w:rPr>
        <w:t>Δ</w:t>
      </w:r>
      <w:r w:rsidRPr="00266486">
        <w:rPr>
          <w:color w:val="000000" w:themeColor="text1"/>
          <w:lang w:eastAsia="zh-TW"/>
        </w:rPr>
        <w:t xml:space="preserve">AIC) and net diversification rates (Rate) are presented on the table in upper left of the figure. </w:t>
      </w:r>
      <w:r>
        <w:rPr>
          <w:color w:val="000000" w:themeColor="text1"/>
          <w:lang w:eastAsia="zh-TW"/>
        </w:rPr>
        <w:t>G</w:t>
      </w:r>
      <w:r w:rsidRPr="00266486">
        <w:rPr>
          <w:color w:val="000000" w:themeColor="text1"/>
          <w:lang w:eastAsia="zh-TW"/>
        </w:rPr>
        <w:t xml:space="preserve">reen and blue dashed lines indicate </w:t>
      </w:r>
      <w:r>
        <w:rPr>
          <w:color w:val="000000" w:themeColor="text1"/>
          <w:lang w:eastAsia="zh-TW"/>
        </w:rPr>
        <w:t xml:space="preserve">the </w:t>
      </w:r>
      <w:r w:rsidRPr="00266486">
        <w:rPr>
          <w:color w:val="000000" w:themeColor="text1"/>
          <w:lang w:eastAsia="zh-TW"/>
        </w:rPr>
        <w:t>geological time</w:t>
      </w:r>
      <w:r>
        <w:rPr>
          <w:color w:val="000000" w:themeColor="text1"/>
          <w:lang w:eastAsia="zh-TW"/>
        </w:rPr>
        <w:t>s</w:t>
      </w:r>
      <w:r w:rsidRPr="00266486">
        <w:rPr>
          <w:color w:val="000000" w:themeColor="text1"/>
          <w:lang w:eastAsia="zh-TW"/>
        </w:rPr>
        <w:t xml:space="preserve"> of the K-P and E-O boundary, respectively. There is no extinction rate here because the shifts were fitted to the pure birth (Yule) model by MEDUSA. </w:t>
      </w:r>
    </w:p>
    <w:p w:rsidR="00EA1186" w:rsidRDefault="00EA1186" w:rsidP="00EA1186">
      <w:pPr>
        <w:spacing w:after="180" w:line="340" w:lineRule="exact"/>
        <w:jc w:val="both"/>
        <w:rPr>
          <w:b/>
          <w:color w:val="000000" w:themeColor="text1"/>
          <w:lang w:eastAsia="zh-TW"/>
        </w:rPr>
      </w:pPr>
    </w:p>
    <w:p w:rsidR="00EA1186" w:rsidRPr="00266486" w:rsidRDefault="00EA1186" w:rsidP="00EA1186">
      <w:pPr>
        <w:spacing w:after="180" w:line="340" w:lineRule="exact"/>
        <w:jc w:val="both"/>
        <w:rPr>
          <w:b/>
          <w:color w:val="000000" w:themeColor="text1"/>
          <w:lang w:eastAsia="zh-TW"/>
        </w:rPr>
      </w:pPr>
      <w:r w:rsidRPr="00266486">
        <w:rPr>
          <w:b/>
          <w:color w:val="000000" w:themeColor="text1"/>
          <w:lang w:eastAsia="zh-TW"/>
        </w:rPr>
        <w:lastRenderedPageBreak/>
        <w:t>Figure S</w:t>
      </w:r>
      <w:r>
        <w:rPr>
          <w:b/>
          <w:color w:val="000000" w:themeColor="text1"/>
          <w:lang w:eastAsia="zh-TW"/>
        </w:rPr>
        <w:t>29</w:t>
      </w:r>
      <w:r w:rsidRPr="00266486">
        <w:rPr>
          <w:b/>
          <w:color w:val="000000" w:themeColor="text1"/>
          <w:lang w:eastAsia="zh-TW"/>
        </w:rPr>
        <w:t xml:space="preserve">. </w:t>
      </w:r>
      <w:r w:rsidRPr="00266486">
        <w:rPr>
          <w:b/>
          <w:color w:val="000000" w:themeColor="text1"/>
        </w:rPr>
        <w:t xml:space="preserve">Net </w:t>
      </w:r>
      <w:r w:rsidRPr="00266486">
        <w:rPr>
          <w:b/>
          <w:color w:val="000000" w:themeColor="text1"/>
          <w:lang w:eastAsia="zh-TW"/>
        </w:rPr>
        <w:t xml:space="preserve">diversification rate shift </w:t>
      </w:r>
      <w:r>
        <w:rPr>
          <w:b/>
          <w:color w:val="000000" w:themeColor="text1"/>
          <w:lang w:eastAsia="zh-TW"/>
        </w:rPr>
        <w:t>from analysis</w:t>
      </w:r>
      <w:r w:rsidRPr="00266486">
        <w:rPr>
          <w:b/>
          <w:color w:val="000000" w:themeColor="text1"/>
          <w:lang w:eastAsia="zh-TW"/>
        </w:rPr>
        <w:t xml:space="preserve"> by MEDUSA under birth-death model.</w:t>
      </w:r>
    </w:p>
    <w:p w:rsidR="00EA1186" w:rsidRPr="00266486" w:rsidRDefault="00EA1186" w:rsidP="00EA1186">
      <w:pPr>
        <w:spacing w:after="180" w:line="340" w:lineRule="exact"/>
        <w:jc w:val="both"/>
        <w:rPr>
          <w:color w:val="000000" w:themeColor="text1"/>
          <w:lang w:eastAsia="zh-TW"/>
        </w:rPr>
      </w:pPr>
      <w:r w:rsidRPr="00266486">
        <w:rPr>
          <w:color w:val="000000" w:themeColor="text1"/>
          <w:lang w:eastAsia="zh-TW"/>
        </w:rPr>
        <w:t>This analysis is nearly the same as</w:t>
      </w:r>
      <w:r>
        <w:rPr>
          <w:color w:val="000000" w:themeColor="text1"/>
          <w:lang w:eastAsia="zh-TW"/>
        </w:rPr>
        <w:t xml:space="preserve"> that shown in</w:t>
      </w:r>
      <w:r w:rsidRPr="00266486">
        <w:rPr>
          <w:color w:val="000000" w:themeColor="text1"/>
          <w:lang w:eastAsia="zh-TW"/>
        </w:rPr>
        <w:t xml:space="preserve"> Figure S28 except the model was set to birth-death model. </w:t>
      </w:r>
      <w:r w:rsidRPr="00071E13">
        <w:rPr>
          <w:color w:val="000000" w:themeColor="text1"/>
          <w:lang w:eastAsia="zh-TW"/>
        </w:rPr>
        <w:t>ε</w:t>
      </w:r>
      <w:r w:rsidRPr="00266486">
        <w:rPr>
          <w:color w:val="000000" w:themeColor="text1"/>
          <w:lang w:eastAsia="zh-TW"/>
        </w:rPr>
        <w:t xml:space="preserve"> is the relative extinction rate</w:t>
      </w:r>
      <w:r w:rsidRPr="00266486">
        <w:rPr>
          <w:color w:val="000000" w:themeColor="text1"/>
        </w:rPr>
        <w:t xml:space="preserve"> as extinction rate (μ) / speciation rate (λ)</w:t>
      </w:r>
      <w:r w:rsidRPr="00266486">
        <w:rPr>
          <w:color w:val="000000" w:themeColor="text1"/>
          <w:lang w:eastAsia="zh-TW"/>
        </w:rPr>
        <w:t>.</w:t>
      </w:r>
    </w:p>
    <w:p w:rsidR="00EA1186" w:rsidRDefault="00EA1186" w:rsidP="00EA1186">
      <w:pPr>
        <w:spacing w:after="180" w:line="340" w:lineRule="exact"/>
        <w:jc w:val="both"/>
        <w:rPr>
          <w:b/>
          <w:lang w:eastAsia="zh-TW"/>
        </w:rPr>
      </w:pPr>
    </w:p>
    <w:p w:rsidR="00EA1186" w:rsidRPr="00266486" w:rsidRDefault="00EA1186" w:rsidP="00EA1186">
      <w:pPr>
        <w:spacing w:after="180" w:line="340" w:lineRule="exact"/>
        <w:jc w:val="both"/>
        <w:rPr>
          <w:b/>
          <w:lang w:eastAsia="zh-TW"/>
        </w:rPr>
      </w:pPr>
      <w:r w:rsidRPr="00266486">
        <w:rPr>
          <w:b/>
          <w:lang w:eastAsia="zh-TW"/>
        </w:rPr>
        <w:t>Figure S3</w:t>
      </w:r>
      <w:r>
        <w:rPr>
          <w:b/>
          <w:lang w:eastAsia="zh-TW"/>
        </w:rPr>
        <w:t>0</w:t>
      </w:r>
      <w:r w:rsidRPr="00266486">
        <w:rPr>
          <w:b/>
          <w:lang w:eastAsia="zh-TW"/>
        </w:rPr>
        <w:t>. Shift configuration of net diversification rates</w:t>
      </w:r>
      <w:r>
        <w:rPr>
          <w:b/>
          <w:lang w:eastAsia="zh-TW"/>
        </w:rPr>
        <w:t>.</w:t>
      </w:r>
      <w:r>
        <w:rPr>
          <w:b/>
          <w:lang w:eastAsia="zh-TW"/>
        </w:rPr>
        <w:br/>
      </w:r>
      <w:r w:rsidRPr="00571B82">
        <w:rPr>
          <w:bCs/>
          <w:lang w:eastAsia="zh-TW"/>
        </w:rPr>
        <w:t xml:space="preserve">The highest maximum a posteriori (MAP) probability (‘‘the best shift configuration”) </w:t>
      </w:r>
      <w:r>
        <w:rPr>
          <w:bCs/>
          <w:lang w:eastAsia="zh-TW"/>
        </w:rPr>
        <w:t>was obtained from</w:t>
      </w:r>
      <w:r w:rsidRPr="00571B82">
        <w:rPr>
          <w:bCs/>
          <w:lang w:eastAsia="zh-TW"/>
        </w:rPr>
        <w:t xml:space="preserve"> BAMM analyses</w:t>
      </w:r>
      <w:r>
        <w:rPr>
          <w:bCs/>
          <w:lang w:eastAsia="zh-TW"/>
        </w:rPr>
        <w:t xml:space="preserve"> using</w:t>
      </w:r>
      <w:r w:rsidRPr="00266486">
        <w:rPr>
          <w:color w:val="000000" w:themeColor="text1"/>
          <w:lang w:eastAsia="zh-TW"/>
        </w:rPr>
        <w:t xml:space="preserve"> time-constant and -variable algorithms</w:t>
      </w:r>
      <w:r>
        <w:rPr>
          <w:color w:val="000000" w:themeColor="text1"/>
          <w:lang w:eastAsia="zh-TW"/>
        </w:rPr>
        <w:t>, as</w:t>
      </w:r>
      <w:r w:rsidRPr="00266486">
        <w:rPr>
          <w:color w:val="000000" w:themeColor="text1"/>
          <w:lang w:eastAsia="zh-TW"/>
        </w:rPr>
        <w:t xml:space="preserve"> shown in (a) and (b), respectively. Net diversification rates </w:t>
      </w:r>
      <w:r w:rsidRPr="00266486">
        <w:rPr>
          <w:color w:val="000000" w:themeColor="text1"/>
        </w:rPr>
        <w:t>along branches</w:t>
      </w:r>
      <w:r w:rsidRPr="00266486">
        <w:rPr>
          <w:color w:val="000000" w:themeColor="text1"/>
          <w:lang w:eastAsia="zh-TW"/>
        </w:rPr>
        <w:t xml:space="preserve"> are depicted with different colors with the </w:t>
      </w:r>
      <w:r w:rsidRPr="00266486">
        <w:rPr>
          <w:color w:val="000000" w:themeColor="text1"/>
        </w:rPr>
        <w:t>rate dynamics</w:t>
      </w:r>
      <w:r w:rsidRPr="00266486">
        <w:rPr>
          <w:color w:val="000000" w:themeColor="text1"/>
          <w:lang w:eastAsia="zh-TW"/>
        </w:rPr>
        <w:t xml:space="preserve">. Red circles are core-shifts in the “best” shift configurations </w:t>
      </w:r>
      <w:r w:rsidRPr="00071E13">
        <w:rPr>
          <w:color w:val="000000" w:themeColor="text1"/>
          <w:lang w:eastAsia="zh-TW"/>
        </w:rPr>
        <w:t xml:space="preserve">suggested by BAMM, which are the same as the first </w:t>
      </w:r>
      <w:r w:rsidRPr="00071E13">
        <w:rPr>
          <w:lang w:eastAsia="zh-TW"/>
        </w:rPr>
        <w:t>configuration in credible configuration</w:t>
      </w:r>
      <w:r w:rsidRPr="00266486">
        <w:rPr>
          <w:lang w:eastAsia="zh-TW"/>
        </w:rPr>
        <w:t xml:space="preserve"> sets (Figure S32D).</w:t>
      </w:r>
    </w:p>
    <w:p w:rsidR="00EA1186" w:rsidRPr="00266486" w:rsidRDefault="00EA1186" w:rsidP="00EA1186">
      <w:pPr>
        <w:spacing w:after="180" w:line="340" w:lineRule="exact"/>
        <w:jc w:val="both"/>
        <w:rPr>
          <w:b/>
          <w:color w:val="000000" w:themeColor="text1"/>
          <w:lang w:eastAsia="zh-TW"/>
        </w:rPr>
      </w:pPr>
      <w:r w:rsidRPr="00266486">
        <w:rPr>
          <w:b/>
          <w:color w:val="000000" w:themeColor="text1"/>
          <w:lang w:eastAsia="zh-TW"/>
        </w:rPr>
        <w:t>Figure S3</w:t>
      </w:r>
      <w:r>
        <w:rPr>
          <w:b/>
          <w:color w:val="000000" w:themeColor="text1"/>
          <w:lang w:eastAsia="zh-TW"/>
        </w:rPr>
        <w:t>1</w:t>
      </w:r>
      <w:r w:rsidRPr="00266486">
        <w:rPr>
          <w:b/>
          <w:color w:val="000000" w:themeColor="text1"/>
          <w:lang w:eastAsia="zh-TW"/>
        </w:rPr>
        <w:t xml:space="preserve">. </w:t>
      </w:r>
      <w:r w:rsidRPr="00266486">
        <w:rPr>
          <w:b/>
          <w:bCs/>
          <w:color w:val="000000" w:themeColor="text1"/>
        </w:rPr>
        <w:t>Rate-through-time (RTT) plots of net diversification rates estimated by BAMM.</w:t>
      </w:r>
    </w:p>
    <w:p w:rsidR="00EA1186" w:rsidRPr="00266486" w:rsidRDefault="00EA1186" w:rsidP="00EA1186">
      <w:pPr>
        <w:spacing w:after="180" w:line="340" w:lineRule="exact"/>
        <w:jc w:val="both"/>
        <w:rPr>
          <w:b/>
          <w:color w:val="000000" w:themeColor="text1"/>
          <w:lang w:eastAsia="zh-TW"/>
        </w:rPr>
      </w:pPr>
      <w:r w:rsidRPr="00266486">
        <w:rPr>
          <w:color w:val="000000" w:themeColor="text1"/>
          <w:lang w:eastAsia="zh-TW"/>
        </w:rPr>
        <w:t xml:space="preserve">Results from time-constant and -variable algorithms are provided in (a) and (b), respectively. Positions of the numbered nodes are shown in </w:t>
      </w:r>
      <w:r w:rsidRPr="00266486">
        <w:rPr>
          <w:lang w:eastAsia="zh-TW"/>
        </w:rPr>
        <w:t>Figure S34. Plots with purple are from data of complete tree, whereas</w:t>
      </w:r>
      <w:r w:rsidRPr="00266486">
        <w:rPr>
          <w:color w:val="000000" w:themeColor="text1"/>
          <w:lang w:eastAsia="zh-TW"/>
        </w:rPr>
        <w:t xml:space="preserve"> those with red and cyan are clade rates from data of clades of the indicated nodes and the background rates excluding the corresponding clades, respectively. The unit of </w:t>
      </w:r>
      <w:r>
        <w:rPr>
          <w:color w:val="000000" w:themeColor="text1"/>
          <w:lang w:eastAsia="zh-TW"/>
        </w:rPr>
        <w:t xml:space="preserve">time (x-axis) </w:t>
      </w:r>
      <w:r>
        <w:rPr>
          <w:rFonts w:ascii="PMingLiU" w:eastAsia="PMingLiU" w:hAnsi="PMingLiU" w:cs="PMingLiU"/>
          <w:color w:val="000000" w:themeColor="text1"/>
          <w:lang w:eastAsia="zh-TW"/>
        </w:rPr>
        <w:t xml:space="preserve">is </w:t>
      </w:r>
      <w:r>
        <w:rPr>
          <w:color w:val="000000" w:themeColor="text1"/>
          <w:lang w:eastAsia="zh-TW"/>
        </w:rPr>
        <w:t>million years</w:t>
      </w:r>
      <w:r>
        <w:rPr>
          <w:rFonts w:ascii="PMingLiU" w:eastAsia="PMingLiU" w:hAnsi="PMingLiU" w:cs="PMingLiU"/>
          <w:color w:val="000000" w:themeColor="text1"/>
          <w:lang w:eastAsia="zh-TW"/>
        </w:rPr>
        <w:t xml:space="preserve">, and that of </w:t>
      </w:r>
      <w:r w:rsidRPr="00266486">
        <w:rPr>
          <w:color w:val="000000" w:themeColor="text1"/>
          <w:lang w:eastAsia="zh-TW"/>
        </w:rPr>
        <w:t xml:space="preserve">diversification rates (y-axis) </w:t>
      </w:r>
      <w:r>
        <w:rPr>
          <w:color w:val="000000" w:themeColor="text1"/>
          <w:lang w:eastAsia="zh-TW"/>
        </w:rPr>
        <w:t xml:space="preserve">is </w:t>
      </w:r>
      <w:r w:rsidRPr="00266486">
        <w:rPr>
          <w:color w:val="000000" w:themeColor="text1"/>
          <w:lang w:eastAsia="zh-TW"/>
        </w:rPr>
        <w:t>species per million years.</w:t>
      </w:r>
    </w:p>
    <w:p w:rsidR="00EA1186" w:rsidRPr="00266486" w:rsidRDefault="00EA1186" w:rsidP="00EA1186">
      <w:pPr>
        <w:spacing w:after="180" w:line="340" w:lineRule="exact"/>
        <w:jc w:val="both"/>
        <w:rPr>
          <w:color w:val="000000" w:themeColor="text1"/>
          <w:lang w:eastAsia="zh-TW"/>
        </w:rPr>
      </w:pPr>
      <w:r w:rsidRPr="00266486">
        <w:rPr>
          <w:b/>
          <w:color w:val="000000" w:themeColor="text1"/>
          <w:lang w:eastAsia="zh-TW"/>
        </w:rPr>
        <w:t xml:space="preserve">Figure </w:t>
      </w:r>
      <w:r w:rsidRPr="00266486">
        <w:rPr>
          <w:b/>
          <w:color w:val="000000" w:themeColor="text1"/>
        </w:rPr>
        <w:t>S3</w:t>
      </w:r>
      <w:r>
        <w:rPr>
          <w:b/>
          <w:color w:val="000000" w:themeColor="text1"/>
        </w:rPr>
        <w:t>2</w:t>
      </w:r>
      <w:r w:rsidRPr="00266486">
        <w:rPr>
          <w:b/>
          <w:color w:val="000000" w:themeColor="text1"/>
          <w:lang w:eastAsia="zh-TW"/>
        </w:rPr>
        <w:t>. In-depth investigation on the shift positions from BAMM.</w:t>
      </w:r>
    </w:p>
    <w:p w:rsidR="00EA1186" w:rsidRPr="00266486" w:rsidRDefault="00EA1186" w:rsidP="00EA1186">
      <w:pPr>
        <w:spacing w:after="180" w:line="340" w:lineRule="exact"/>
        <w:jc w:val="both"/>
        <w:rPr>
          <w:color w:val="000000" w:themeColor="text1"/>
          <w:lang w:eastAsia="zh-TW"/>
        </w:rPr>
      </w:pPr>
      <w:r w:rsidRPr="00266486">
        <w:rPr>
          <w:color w:val="000000" w:themeColor="text1"/>
          <w:lang w:eastAsia="zh-TW"/>
        </w:rPr>
        <w:t xml:space="preserve">(a) The prior (blue) and posterior (red) probabilities for each shift model by time-constant and time-variable algorithms, respectively. (b) The pairwise Bayes factors for all sampled shift models relative to the model with three shifts. (c) Frequencies of shift nodes sampled in five- to eight-shift models by time-constant algorithm in BAMM. Nodes that can be classified into five groups by their phylogenetic positions are denoted with names at topright. Values on each data point are the numbers the node to be identified as having rate shift, and those shown after the clade name are the sum for nodes belonging to the same group. Identities of nodes </w:t>
      </w:r>
      <w:r w:rsidRPr="00266486">
        <w:rPr>
          <w:lang w:eastAsia="zh-TW"/>
        </w:rPr>
        <w:t xml:space="preserve">are shown in Figure S34. (d) </w:t>
      </w:r>
      <w:r w:rsidRPr="00266486">
        <w:t>The first nine credible shift sets (CSS</w:t>
      </w:r>
      <w:r>
        <w:t>, as defined in BAMM</w:t>
      </w:r>
      <w:r w:rsidRPr="00266486">
        <w:t>) for</w:t>
      </w:r>
      <w:r w:rsidRPr="00266486">
        <w:rPr>
          <w:color w:val="000000" w:themeColor="text1"/>
        </w:rPr>
        <w:t xml:space="preserve"> core-shifts of net diversification rates resulted from estimations by time-constant algorithm using BAMM</w:t>
      </w:r>
      <w:r w:rsidRPr="00266486">
        <w:rPr>
          <w:color w:val="000000" w:themeColor="text1"/>
          <w:lang w:eastAsia="zh-TW"/>
        </w:rPr>
        <w:t xml:space="preserve">. Frequencies of the samples in posterior assigned to each shift configuration are shown as the </w:t>
      </w:r>
      <w:r w:rsidRPr="00266486">
        <w:rPr>
          <w:i/>
          <w:color w:val="000000" w:themeColor="text1"/>
          <w:lang w:eastAsia="zh-TW"/>
        </w:rPr>
        <w:t>f</w:t>
      </w:r>
      <w:r w:rsidRPr="00266486">
        <w:rPr>
          <w:color w:val="000000" w:themeColor="text1"/>
          <w:lang w:eastAsia="zh-TW"/>
        </w:rPr>
        <w:t xml:space="preserve"> values above each plot. Circles denote the place and probabilities (as relative size) of each rate shift at the node.</w:t>
      </w:r>
    </w:p>
    <w:p w:rsidR="00EA1186" w:rsidRPr="00266486" w:rsidRDefault="00EA1186" w:rsidP="00EA1186">
      <w:pPr>
        <w:spacing w:after="180" w:line="340" w:lineRule="exact"/>
        <w:jc w:val="both"/>
        <w:rPr>
          <w:b/>
          <w:color w:val="000000" w:themeColor="text1"/>
          <w:lang w:eastAsia="zh-TW"/>
        </w:rPr>
      </w:pPr>
      <w:r w:rsidRPr="00266486">
        <w:rPr>
          <w:b/>
          <w:color w:val="000000" w:themeColor="text1"/>
          <w:lang w:eastAsia="zh-TW"/>
        </w:rPr>
        <w:lastRenderedPageBreak/>
        <w:t>Figure S3</w:t>
      </w:r>
      <w:r>
        <w:rPr>
          <w:b/>
          <w:color w:val="000000" w:themeColor="text1"/>
          <w:lang w:eastAsia="zh-TW"/>
        </w:rPr>
        <w:t>3</w:t>
      </w:r>
      <w:r w:rsidRPr="00266486">
        <w:rPr>
          <w:b/>
          <w:color w:val="000000" w:themeColor="text1"/>
          <w:lang w:eastAsia="zh-TW"/>
        </w:rPr>
        <w:t>. Cohorts of net diversification rates by BAMM.</w:t>
      </w:r>
    </w:p>
    <w:p w:rsidR="00EA1186" w:rsidRPr="00266486" w:rsidRDefault="00EA1186" w:rsidP="00EA1186">
      <w:pPr>
        <w:spacing w:after="180" w:line="340" w:lineRule="exact"/>
        <w:jc w:val="both"/>
        <w:rPr>
          <w:color w:val="000000" w:themeColor="text1"/>
          <w:lang w:eastAsia="zh-TW"/>
        </w:rPr>
      </w:pPr>
      <w:r w:rsidRPr="00266486">
        <w:rPr>
          <w:color w:val="000000" w:themeColor="text1"/>
          <w:lang w:eastAsia="zh-TW"/>
        </w:rPr>
        <w:t xml:space="preserve">Colors from red to blue illustrate whether any two terminals in the tree share </w:t>
      </w:r>
      <w:r>
        <w:rPr>
          <w:color w:val="000000" w:themeColor="text1"/>
          <w:lang w:eastAsia="zh-TW"/>
        </w:rPr>
        <w:t>were in the same rate</w:t>
      </w:r>
      <w:r w:rsidRPr="00266486">
        <w:rPr>
          <w:color w:val="000000" w:themeColor="text1"/>
          <w:lang w:eastAsia="zh-TW"/>
        </w:rPr>
        <w:t xml:space="preserve"> regime (red) or </w:t>
      </w:r>
      <w:r>
        <w:rPr>
          <w:color w:val="000000" w:themeColor="text1"/>
          <w:lang w:eastAsia="zh-TW"/>
        </w:rPr>
        <w:t>different</w:t>
      </w:r>
      <w:r w:rsidRPr="00266486">
        <w:rPr>
          <w:color w:val="000000" w:themeColor="text1"/>
          <w:lang w:eastAsia="zh-TW"/>
        </w:rPr>
        <w:t xml:space="preserve"> rate</w:t>
      </w:r>
      <w:r>
        <w:rPr>
          <w:color w:val="000000" w:themeColor="text1"/>
          <w:lang w:eastAsia="zh-TW"/>
        </w:rPr>
        <w:t xml:space="preserve"> regimes</w:t>
      </w:r>
      <w:r w:rsidRPr="00266486">
        <w:rPr>
          <w:color w:val="000000" w:themeColor="text1"/>
          <w:lang w:eastAsia="zh-TW"/>
        </w:rPr>
        <w:t xml:space="preserve"> (blue). The major difference in the two algorithms</w:t>
      </w:r>
      <w:r>
        <w:rPr>
          <w:color w:val="000000" w:themeColor="text1"/>
          <w:lang w:eastAsia="zh-TW"/>
        </w:rPr>
        <w:t xml:space="preserve"> (a and b)</w:t>
      </w:r>
      <w:r w:rsidRPr="00266486">
        <w:rPr>
          <w:color w:val="000000" w:themeColor="text1"/>
          <w:lang w:eastAsia="zh-TW"/>
        </w:rPr>
        <w:t xml:space="preserve"> is in the</w:t>
      </w:r>
      <w:r>
        <w:rPr>
          <w:color w:val="000000" w:themeColor="text1"/>
          <w:lang w:eastAsia="zh-TW"/>
        </w:rPr>
        <w:t xml:space="preserve"> color </w:t>
      </w:r>
      <w:r w:rsidRPr="00266486">
        <w:rPr>
          <w:color w:val="000000" w:themeColor="text1"/>
          <w:lang w:eastAsia="zh-TW"/>
        </w:rPr>
        <w:t>of</w:t>
      </w:r>
      <w:r>
        <w:rPr>
          <w:color w:val="000000" w:themeColor="text1"/>
          <w:lang w:eastAsia="zh-TW"/>
        </w:rPr>
        <w:t xml:space="preserve"> blocks comparing</w:t>
      </w:r>
      <w:r w:rsidRPr="00266486">
        <w:rPr>
          <w:lang w:eastAsia="zh-TW"/>
        </w:rPr>
        <w:t xml:space="preserve"> Helianthodae (including the two possible rate shifts at the </w:t>
      </w:r>
      <w:r w:rsidRPr="00266486">
        <w:t>Heliantheae</w:t>
      </w:r>
      <w:r w:rsidRPr="00266486">
        <w:rPr>
          <w:lang w:eastAsia="zh-TW"/>
        </w:rPr>
        <w:t xml:space="preserve"> alliance and Eupatorieae)</w:t>
      </w:r>
      <w:r>
        <w:rPr>
          <w:lang w:eastAsia="zh-TW"/>
        </w:rPr>
        <w:t xml:space="preserve"> and </w:t>
      </w:r>
      <w:r w:rsidRPr="00266486">
        <w:rPr>
          <w:color w:val="000000" w:themeColor="text1"/>
          <w:lang w:eastAsia="zh-TW"/>
        </w:rPr>
        <w:t xml:space="preserve">some </w:t>
      </w:r>
      <w:r w:rsidRPr="00266486">
        <w:rPr>
          <w:lang w:eastAsia="zh-TW"/>
        </w:rPr>
        <w:t>other clades in the clade of Asteroideae-Dicomeae (with dark blue branches)</w:t>
      </w:r>
      <w:r>
        <w:rPr>
          <w:lang w:eastAsia="zh-TW"/>
        </w:rPr>
        <w:t>, which are light blue in time-constant algorithm but are orange red in time-variable algorithm</w:t>
      </w:r>
      <w:r>
        <w:rPr>
          <w:color w:val="000000" w:themeColor="text1"/>
          <w:lang w:eastAsia="zh-TW"/>
        </w:rPr>
        <w:t xml:space="preserve">. This indicates that, in the clade of  </w:t>
      </w:r>
      <w:r w:rsidRPr="00266486">
        <w:rPr>
          <w:lang w:eastAsia="zh-TW"/>
        </w:rPr>
        <w:t>Asteroideae-Dicomeae</w:t>
      </w:r>
      <w:r>
        <w:rPr>
          <w:lang w:eastAsia="zh-TW"/>
        </w:rPr>
        <w:t>,</w:t>
      </w:r>
      <w:r>
        <w:rPr>
          <w:color w:val="000000" w:themeColor="text1"/>
          <w:lang w:eastAsia="zh-TW"/>
        </w:rPr>
        <w:t xml:space="preserve"> the</w:t>
      </w:r>
      <w:r w:rsidRPr="00266486">
        <w:rPr>
          <w:color w:val="000000" w:themeColor="text1"/>
          <w:lang w:eastAsia="zh-TW"/>
        </w:rPr>
        <w:t xml:space="preserve"> rate</w:t>
      </w:r>
      <w:r>
        <w:rPr>
          <w:color w:val="000000" w:themeColor="text1"/>
          <w:lang w:eastAsia="zh-TW"/>
        </w:rPr>
        <w:t>s</w:t>
      </w:r>
      <w:r w:rsidRPr="00266486">
        <w:rPr>
          <w:color w:val="000000" w:themeColor="text1"/>
          <w:lang w:eastAsia="zh-TW"/>
        </w:rPr>
        <w:t xml:space="preserve"> of </w:t>
      </w:r>
      <w:r>
        <w:rPr>
          <w:color w:val="000000" w:themeColor="text1"/>
          <w:lang w:eastAsia="zh-TW"/>
        </w:rPr>
        <w:t>green branches (</w:t>
      </w:r>
      <w:r w:rsidRPr="00266486">
        <w:rPr>
          <w:lang w:eastAsia="zh-TW"/>
        </w:rPr>
        <w:t>Helianthodae</w:t>
      </w:r>
      <w:r>
        <w:rPr>
          <w:color w:val="000000" w:themeColor="text1"/>
          <w:lang w:eastAsia="zh-TW"/>
        </w:rPr>
        <w:t>)</w:t>
      </w:r>
      <w:r w:rsidRPr="00266486">
        <w:rPr>
          <w:color w:val="000000" w:themeColor="text1"/>
          <w:lang w:eastAsia="zh-TW"/>
        </w:rPr>
        <w:t xml:space="preserve"> </w:t>
      </w:r>
      <w:r>
        <w:rPr>
          <w:rFonts w:eastAsia="PMingLiU"/>
          <w:color w:val="000000" w:themeColor="text1"/>
          <w:lang w:eastAsia="zh-TW"/>
        </w:rPr>
        <w:t>are in</w:t>
      </w:r>
      <w:r w:rsidRPr="00266486">
        <w:rPr>
          <w:color w:val="000000" w:themeColor="text1"/>
          <w:lang w:eastAsia="zh-TW"/>
        </w:rPr>
        <w:t xml:space="preserve"> different rate regimes </w:t>
      </w:r>
      <w:r>
        <w:rPr>
          <w:color w:val="000000" w:themeColor="text1"/>
          <w:lang w:eastAsia="zh-TW"/>
        </w:rPr>
        <w:t xml:space="preserve">from the </w:t>
      </w:r>
      <w:r w:rsidRPr="00266486">
        <w:rPr>
          <w:lang w:eastAsia="zh-TW"/>
        </w:rPr>
        <w:t>dark blue branches</w:t>
      </w:r>
      <w:r w:rsidRPr="00266486">
        <w:rPr>
          <w:color w:val="000000" w:themeColor="text1"/>
          <w:lang w:eastAsia="zh-TW"/>
        </w:rPr>
        <w:t xml:space="preserve"> in time-constant algorithm, whereas in time-variable algorithm the difference is eliminated.</w:t>
      </w:r>
    </w:p>
    <w:p w:rsidR="00EA1186" w:rsidRPr="00266486" w:rsidRDefault="00EA1186" w:rsidP="00EA1186">
      <w:pPr>
        <w:spacing w:after="180" w:line="340" w:lineRule="exact"/>
        <w:jc w:val="both"/>
        <w:rPr>
          <w:b/>
          <w:color w:val="000000" w:themeColor="text1"/>
          <w:lang w:eastAsia="zh-TW"/>
        </w:rPr>
      </w:pPr>
      <w:r w:rsidRPr="00266486">
        <w:rPr>
          <w:b/>
          <w:color w:val="000000" w:themeColor="text1"/>
          <w:lang w:eastAsia="zh-TW"/>
        </w:rPr>
        <w:t>Figure S3</w:t>
      </w:r>
      <w:r>
        <w:rPr>
          <w:b/>
          <w:color w:val="000000" w:themeColor="text1"/>
          <w:lang w:eastAsia="zh-TW"/>
        </w:rPr>
        <w:t>4</w:t>
      </w:r>
      <w:r w:rsidRPr="00266486">
        <w:rPr>
          <w:b/>
          <w:color w:val="000000" w:themeColor="text1"/>
          <w:lang w:eastAsia="zh-TW"/>
        </w:rPr>
        <w:t>. Identity of nodes in BAMM analyses.</w:t>
      </w:r>
    </w:p>
    <w:p w:rsidR="00EA1186" w:rsidRDefault="00EA1186" w:rsidP="00EA1186">
      <w:pPr>
        <w:spacing w:after="180" w:line="340" w:lineRule="exact"/>
        <w:jc w:val="both"/>
        <w:rPr>
          <w:lang w:eastAsia="zh-TW"/>
        </w:rPr>
      </w:pPr>
      <w:r w:rsidRPr="00266486">
        <w:rPr>
          <w:color w:val="000000" w:themeColor="text1"/>
          <w:lang w:eastAsia="zh-TW"/>
        </w:rPr>
        <w:t xml:space="preserve">The numbers of each node are used in plots of BAMM results. Colored nodes are </w:t>
      </w:r>
      <w:r w:rsidRPr="00266486">
        <w:rPr>
          <w:lang w:eastAsia="zh-TW"/>
        </w:rPr>
        <w:t>those of interest and used in further analyses such as in Supplemental Figure S32.</w:t>
      </w:r>
    </w:p>
    <w:p w:rsidR="00EA1186" w:rsidRPr="00C06E29" w:rsidRDefault="00EA1186" w:rsidP="00EA1186">
      <w:pPr>
        <w:spacing w:after="180" w:line="340" w:lineRule="exact"/>
        <w:jc w:val="both"/>
        <w:rPr>
          <w:b/>
          <w:bCs/>
          <w:lang w:eastAsia="zh-TW"/>
        </w:rPr>
      </w:pPr>
      <w:r w:rsidRPr="00C06E29">
        <w:rPr>
          <w:b/>
          <w:bCs/>
          <w:lang w:eastAsia="zh-TW"/>
        </w:rPr>
        <w:t>Figure S35. A summary of detected (candidate) whole genome duplication event</w:t>
      </w:r>
      <w:r>
        <w:rPr>
          <w:rFonts w:hint="eastAsia"/>
          <w:b/>
          <w:bCs/>
        </w:rPr>
        <w:t>s</w:t>
      </w:r>
      <w:r w:rsidRPr="00C06E29">
        <w:rPr>
          <w:b/>
          <w:bCs/>
          <w:lang w:eastAsia="zh-TW"/>
        </w:rPr>
        <w:t>.</w:t>
      </w:r>
    </w:p>
    <w:p w:rsidR="00EA1186" w:rsidRPr="00266486" w:rsidRDefault="00EA1186" w:rsidP="00EA1186">
      <w:pPr>
        <w:spacing w:after="180" w:line="340" w:lineRule="exact"/>
        <w:jc w:val="both"/>
        <w:rPr>
          <w:lang w:eastAsia="zh-TW"/>
        </w:rPr>
      </w:pPr>
      <w:r>
        <w:rPr>
          <w:rFonts w:hint="eastAsia"/>
          <w:lang w:eastAsia="zh-TW"/>
        </w:rPr>
        <w:t>T</w:t>
      </w:r>
      <w:r>
        <w:rPr>
          <w:lang w:eastAsia="zh-TW"/>
        </w:rPr>
        <w:t>he detected WGDs were marked at the node. The red one are WGDs with relatively strong evidence, whereas the orange ones are WGDs with moderate supports (candidate WGDs, see the methods for details). The numbers represent the count of the gene duplication numbers, gene families and its ratio. The phylogenetic positions of the five species included in WGD analyses but not in phylogenetic analyses (Table S1) were supported by the ML tree based on the gene set 11 with 192 genes (Figure S2).</w:t>
      </w:r>
    </w:p>
    <w:p w:rsidR="00EA1186" w:rsidRPr="00266486" w:rsidRDefault="00EA1186" w:rsidP="00EA1186">
      <w:pPr>
        <w:spacing w:after="180" w:line="340" w:lineRule="exact"/>
        <w:jc w:val="both"/>
        <w:rPr>
          <w:b/>
          <w:lang w:eastAsia="zh-TW"/>
        </w:rPr>
      </w:pPr>
      <w:r w:rsidRPr="00266486">
        <w:rPr>
          <w:b/>
          <w:lang w:eastAsia="zh-TW"/>
        </w:rPr>
        <w:t>Figure S3</w:t>
      </w:r>
      <w:r>
        <w:rPr>
          <w:b/>
          <w:lang w:eastAsia="zh-TW"/>
        </w:rPr>
        <w:t>6</w:t>
      </w:r>
      <w:r w:rsidRPr="00266486">
        <w:rPr>
          <w:b/>
          <w:lang w:eastAsia="zh-TW"/>
        </w:rPr>
        <w:t xml:space="preserve">. Ancestral character reconstruction of habit in Asteraceae. </w:t>
      </w:r>
      <w:r w:rsidRPr="00266486">
        <w:rPr>
          <w:lang w:eastAsia="zh-TW"/>
        </w:rPr>
        <w:t xml:space="preserve">The termini were coded with either state, or 50/50 for both when both are present. </w:t>
      </w:r>
    </w:p>
    <w:p w:rsidR="00EA1186" w:rsidRPr="00266486" w:rsidRDefault="00EA1186" w:rsidP="00EA1186">
      <w:pPr>
        <w:spacing w:after="180" w:line="340" w:lineRule="exact"/>
        <w:jc w:val="both"/>
        <w:rPr>
          <w:b/>
          <w:lang w:eastAsia="zh-TW"/>
        </w:rPr>
      </w:pPr>
      <w:r w:rsidRPr="00266486">
        <w:rPr>
          <w:b/>
          <w:lang w:eastAsia="zh-TW"/>
        </w:rPr>
        <w:t>Figure S3</w:t>
      </w:r>
      <w:r>
        <w:rPr>
          <w:b/>
          <w:lang w:eastAsia="zh-TW"/>
        </w:rPr>
        <w:t>7</w:t>
      </w:r>
      <w:r w:rsidRPr="00266486">
        <w:rPr>
          <w:b/>
          <w:lang w:eastAsia="zh-TW"/>
        </w:rPr>
        <w:t xml:space="preserve">. Ancestral character reconstruction of </w:t>
      </w:r>
      <w:r>
        <w:rPr>
          <w:b/>
          <w:lang w:eastAsia="zh-TW"/>
        </w:rPr>
        <w:t>inflor</w:t>
      </w:r>
      <w:r w:rsidRPr="00266486">
        <w:rPr>
          <w:b/>
          <w:lang w:eastAsia="zh-TW"/>
        </w:rPr>
        <w:t xml:space="preserve">escence in Asteraceae. </w:t>
      </w:r>
      <w:r w:rsidRPr="00266486">
        <w:rPr>
          <w:lang w:eastAsia="zh-TW"/>
        </w:rPr>
        <w:t xml:space="preserve">The termini were coded with either state, or 50/50 for both when both are present. </w:t>
      </w:r>
    </w:p>
    <w:p w:rsidR="00EA1186" w:rsidRPr="00266486" w:rsidRDefault="00EA1186" w:rsidP="00EA1186">
      <w:pPr>
        <w:spacing w:after="180" w:line="340" w:lineRule="exact"/>
        <w:jc w:val="both"/>
        <w:rPr>
          <w:b/>
          <w:lang w:eastAsia="zh-TW"/>
        </w:rPr>
      </w:pPr>
      <w:r w:rsidRPr="00266486">
        <w:rPr>
          <w:b/>
          <w:lang w:eastAsia="zh-TW"/>
        </w:rPr>
        <w:t>Figure S3</w:t>
      </w:r>
      <w:r>
        <w:rPr>
          <w:b/>
          <w:lang w:eastAsia="zh-TW"/>
        </w:rPr>
        <w:t>8</w:t>
      </w:r>
      <w:r w:rsidRPr="00266486">
        <w:rPr>
          <w:b/>
          <w:lang w:eastAsia="zh-TW"/>
        </w:rPr>
        <w:t>. Ancestral character reconstruction of capitul</w:t>
      </w:r>
      <w:r>
        <w:rPr>
          <w:b/>
          <w:lang w:eastAsia="zh-TW"/>
        </w:rPr>
        <w:t>um</w:t>
      </w:r>
      <w:r w:rsidRPr="00266486">
        <w:rPr>
          <w:b/>
          <w:lang w:eastAsia="zh-TW"/>
        </w:rPr>
        <w:t xml:space="preserve"> </w:t>
      </w:r>
      <w:r>
        <w:rPr>
          <w:b/>
          <w:lang w:eastAsia="zh-TW"/>
        </w:rPr>
        <w:t xml:space="preserve">sexual differentiation </w:t>
      </w:r>
      <w:r w:rsidRPr="00266486">
        <w:rPr>
          <w:b/>
          <w:lang w:eastAsia="zh-TW"/>
        </w:rPr>
        <w:t xml:space="preserve">in Asteraceae. </w:t>
      </w:r>
      <w:r w:rsidRPr="00266486">
        <w:rPr>
          <w:lang w:eastAsia="zh-TW"/>
        </w:rPr>
        <w:t xml:space="preserve">The termini were coded with either state, or 50/50 for both when both are present. </w:t>
      </w:r>
    </w:p>
    <w:p w:rsidR="00EA1186" w:rsidRPr="00266486" w:rsidRDefault="00EA1186" w:rsidP="00EA1186">
      <w:pPr>
        <w:spacing w:after="180" w:line="340" w:lineRule="exact"/>
        <w:jc w:val="both"/>
        <w:rPr>
          <w:b/>
          <w:lang w:eastAsia="zh-TW"/>
        </w:rPr>
      </w:pPr>
      <w:r w:rsidRPr="00266486">
        <w:rPr>
          <w:b/>
          <w:lang w:eastAsia="zh-TW"/>
        </w:rPr>
        <w:t>Figure S3</w:t>
      </w:r>
      <w:r>
        <w:rPr>
          <w:b/>
          <w:lang w:eastAsia="zh-TW"/>
        </w:rPr>
        <w:t>9</w:t>
      </w:r>
      <w:r w:rsidRPr="00266486">
        <w:rPr>
          <w:b/>
          <w:lang w:eastAsia="zh-TW"/>
        </w:rPr>
        <w:t xml:space="preserve">. Ancestral character reconstruction of capitulum type in Asteraceae. </w:t>
      </w:r>
      <w:r w:rsidRPr="00266486">
        <w:rPr>
          <w:lang w:eastAsia="zh-TW"/>
        </w:rPr>
        <w:t xml:space="preserve">The termini were coded with one of the states, or equal proportion for those that are present. </w:t>
      </w:r>
    </w:p>
    <w:p w:rsidR="00EA1186" w:rsidRPr="00266486" w:rsidRDefault="00EA1186" w:rsidP="00EA1186">
      <w:pPr>
        <w:spacing w:after="180" w:line="340" w:lineRule="exact"/>
        <w:jc w:val="both"/>
        <w:rPr>
          <w:b/>
          <w:lang w:eastAsia="zh-TW"/>
        </w:rPr>
      </w:pPr>
      <w:r w:rsidRPr="00266486">
        <w:rPr>
          <w:b/>
          <w:lang w:eastAsia="zh-TW"/>
        </w:rPr>
        <w:t>Figure S</w:t>
      </w:r>
      <w:r>
        <w:rPr>
          <w:b/>
          <w:lang w:eastAsia="zh-TW"/>
        </w:rPr>
        <w:t>40</w:t>
      </w:r>
      <w:r w:rsidRPr="00266486">
        <w:rPr>
          <w:b/>
          <w:lang w:eastAsia="zh-TW"/>
        </w:rPr>
        <w:t>. Ancestral character reconstruction of corol</w:t>
      </w:r>
      <w:r>
        <w:rPr>
          <w:b/>
          <w:lang w:eastAsia="zh-TW"/>
        </w:rPr>
        <w:t>l</w:t>
      </w:r>
      <w:r w:rsidRPr="00266486">
        <w:rPr>
          <w:rFonts w:hint="eastAsia"/>
          <w:b/>
          <w:lang w:eastAsia="zh-TW"/>
        </w:rPr>
        <w:t>a</w:t>
      </w:r>
      <w:r>
        <w:rPr>
          <w:b/>
          <w:lang w:eastAsia="zh-TW"/>
        </w:rPr>
        <w:t>s in a capitulum</w:t>
      </w:r>
      <w:r w:rsidRPr="00266486">
        <w:rPr>
          <w:b/>
          <w:lang w:eastAsia="zh-TW"/>
        </w:rPr>
        <w:t xml:space="preserve"> in Asteraceae. </w:t>
      </w:r>
      <w:r w:rsidRPr="00266486">
        <w:rPr>
          <w:lang w:eastAsia="zh-TW"/>
        </w:rPr>
        <w:t xml:space="preserve">The termini were coded with either state, or 50/50 for both when both are present. </w:t>
      </w:r>
    </w:p>
    <w:p w:rsidR="00EA1186" w:rsidRPr="00266486" w:rsidRDefault="00EA1186" w:rsidP="00EA1186">
      <w:pPr>
        <w:spacing w:after="180" w:line="340" w:lineRule="exact"/>
        <w:jc w:val="both"/>
        <w:rPr>
          <w:b/>
          <w:lang w:eastAsia="zh-TW"/>
        </w:rPr>
      </w:pPr>
      <w:r w:rsidRPr="00266486">
        <w:rPr>
          <w:b/>
          <w:lang w:eastAsia="zh-TW"/>
        </w:rPr>
        <w:lastRenderedPageBreak/>
        <w:t>Figure S4</w:t>
      </w:r>
      <w:r>
        <w:rPr>
          <w:b/>
          <w:lang w:eastAsia="zh-TW"/>
        </w:rPr>
        <w:t>1</w:t>
      </w:r>
      <w:r w:rsidRPr="00266486">
        <w:rPr>
          <w:b/>
          <w:lang w:eastAsia="zh-TW"/>
        </w:rPr>
        <w:t xml:space="preserve">. Ancestral character reconstruction of pappus in Asteraceae. </w:t>
      </w:r>
      <w:r w:rsidRPr="00266486">
        <w:rPr>
          <w:lang w:eastAsia="zh-TW"/>
        </w:rPr>
        <w:t xml:space="preserve">The termini were coded with one of the states, or equal proportion for those that are present. </w:t>
      </w:r>
    </w:p>
    <w:p w:rsidR="00EA1186" w:rsidRPr="00266486" w:rsidRDefault="00EA1186" w:rsidP="00EA1186">
      <w:pPr>
        <w:spacing w:after="180" w:line="340" w:lineRule="exact"/>
        <w:jc w:val="both"/>
        <w:rPr>
          <w:b/>
          <w:lang w:eastAsia="zh-TW"/>
        </w:rPr>
      </w:pPr>
      <w:r w:rsidRPr="00266486">
        <w:rPr>
          <w:b/>
          <w:lang w:eastAsia="zh-TW"/>
        </w:rPr>
        <w:t>Figure S4</w:t>
      </w:r>
      <w:r>
        <w:rPr>
          <w:b/>
          <w:lang w:eastAsia="zh-TW"/>
        </w:rPr>
        <w:t>2</w:t>
      </w:r>
      <w:r w:rsidRPr="00266486">
        <w:rPr>
          <w:b/>
          <w:lang w:eastAsia="zh-TW"/>
        </w:rPr>
        <w:t>. Ancestral character reconstruction of receptac</w:t>
      </w:r>
      <w:r>
        <w:rPr>
          <w:b/>
          <w:lang w:eastAsia="zh-TW"/>
        </w:rPr>
        <w:t>u</w:t>
      </w:r>
      <w:r w:rsidRPr="00266486">
        <w:rPr>
          <w:b/>
          <w:lang w:eastAsia="zh-TW"/>
        </w:rPr>
        <w:t>l</w:t>
      </w:r>
      <w:r>
        <w:rPr>
          <w:b/>
          <w:lang w:eastAsia="zh-TW"/>
        </w:rPr>
        <w:t>ar bract</w:t>
      </w:r>
      <w:r w:rsidRPr="00266486">
        <w:rPr>
          <w:b/>
          <w:lang w:eastAsia="zh-TW"/>
        </w:rPr>
        <w:t xml:space="preserve"> in Asteraceae. </w:t>
      </w:r>
      <w:r w:rsidRPr="00266486">
        <w:rPr>
          <w:lang w:eastAsia="zh-TW"/>
        </w:rPr>
        <w:t>The termini were coded with either state, or 50/50 for both when both are present.</w:t>
      </w:r>
    </w:p>
    <w:p w:rsidR="00EA1186" w:rsidRPr="00266486" w:rsidRDefault="00EA1186" w:rsidP="00EA1186">
      <w:pPr>
        <w:spacing w:after="180" w:line="340" w:lineRule="exact"/>
        <w:jc w:val="both"/>
        <w:rPr>
          <w:b/>
          <w:color w:val="000000" w:themeColor="text1"/>
        </w:rPr>
      </w:pPr>
      <w:r w:rsidRPr="00266486">
        <w:rPr>
          <w:b/>
          <w:color w:val="000000" w:themeColor="text1"/>
        </w:rPr>
        <w:t>Table Legends</w:t>
      </w:r>
    </w:p>
    <w:p w:rsidR="00EA1186" w:rsidRDefault="00EA1186" w:rsidP="00EA1186">
      <w:pPr>
        <w:spacing w:after="180" w:line="340" w:lineRule="exact"/>
        <w:rPr>
          <w:color w:val="000000"/>
        </w:rPr>
      </w:pPr>
      <w:r w:rsidRPr="00266486">
        <w:rPr>
          <w:b/>
          <w:color w:val="000000" w:themeColor="text1"/>
        </w:rPr>
        <w:t>Table S1. Taxa included in this study.</w:t>
      </w:r>
      <w:r w:rsidRPr="00266486">
        <w:rPr>
          <w:b/>
          <w:color w:val="000000" w:themeColor="text1"/>
        </w:rPr>
        <w:br/>
      </w:r>
      <w:r w:rsidRPr="00266486">
        <w:rPr>
          <w:rFonts w:eastAsia="Times New Roman"/>
          <w:color w:val="000000"/>
          <w:lang w:eastAsia="en-US"/>
        </w:rPr>
        <w:t xml:space="preserve">Subtribes or subclades within tribes are mainly from </w:t>
      </w:r>
      <w:r>
        <w:rPr>
          <w:rFonts w:eastAsia="Times New Roman"/>
          <w:noProof/>
          <w:color w:val="000000"/>
          <w:lang w:eastAsia="en-US"/>
        </w:rPr>
        <w:t>Anderberg et al. (2007</w:t>
      </w:r>
      <w:r>
        <w:rPr>
          <w:rFonts w:eastAsia="Times New Roman"/>
          <w:color w:val="000000"/>
          <w:lang w:eastAsia="en-US"/>
        </w:rPr>
        <w:t xml:space="preserve"> </w:t>
      </w:r>
      <w:r w:rsidRPr="00266486">
        <w:rPr>
          <w:rFonts w:eastAsia="Times New Roman"/>
          <w:color w:val="000000"/>
          <w:lang w:eastAsia="en-US"/>
        </w:rPr>
        <w:t xml:space="preserve">and </w:t>
      </w:r>
      <w:r>
        <w:rPr>
          <w:rFonts w:eastAsia="Times New Roman"/>
          <w:noProof/>
          <w:color w:val="000000"/>
          <w:lang w:eastAsia="en-US"/>
        </w:rPr>
        <w:t>Funk et al. (2009b</w:t>
      </w:r>
      <w:r w:rsidRPr="00266486">
        <w:rPr>
          <w:rFonts w:eastAsia="Times New Roman"/>
          <w:color w:val="000000"/>
          <w:lang w:eastAsia="en-US"/>
        </w:rPr>
        <w:t xml:space="preserve">. Subclades within Gnaphalieae are from </w:t>
      </w:r>
      <w:r>
        <w:rPr>
          <w:rFonts w:eastAsia="Times New Roman"/>
          <w:noProof/>
          <w:color w:val="000000"/>
          <w:lang w:eastAsia="en-US"/>
        </w:rPr>
        <w:t>Nie et al. (2016</w:t>
      </w:r>
      <w:r w:rsidRPr="00266486">
        <w:rPr>
          <w:rFonts w:eastAsia="Times New Roman"/>
          <w:color w:val="000000"/>
          <w:lang w:eastAsia="en-US"/>
        </w:rPr>
        <w:t>. Within Cardueae, subtribes and genera groups are according to</w:t>
      </w:r>
      <w:r>
        <w:rPr>
          <w:rFonts w:eastAsia="Times New Roman"/>
          <w:color w:val="000000"/>
          <w:lang w:eastAsia="en-US"/>
        </w:rPr>
        <w:t xml:space="preserve"> </w:t>
      </w:r>
      <w:r>
        <w:rPr>
          <w:rFonts w:eastAsia="Times New Roman"/>
          <w:noProof/>
          <w:color w:val="000000"/>
          <w:lang w:eastAsia="en-US"/>
        </w:rPr>
        <w:t>Barres et al. (2013</w:t>
      </w:r>
      <w:r w:rsidRPr="00266486">
        <w:rPr>
          <w:rFonts w:eastAsia="Times New Roman"/>
          <w:color w:val="000000"/>
          <w:lang w:eastAsia="en-US"/>
        </w:rPr>
        <w:t>. Species number of each genus is according to</w:t>
      </w:r>
      <w:r>
        <w:rPr>
          <w:rFonts w:eastAsia="Times New Roman"/>
          <w:color w:val="000000"/>
          <w:lang w:eastAsia="en-US"/>
        </w:rPr>
        <w:t xml:space="preserve"> </w:t>
      </w:r>
      <w:r>
        <w:rPr>
          <w:rFonts w:eastAsia="Times New Roman"/>
          <w:noProof/>
          <w:color w:val="000000"/>
          <w:lang w:eastAsia="en-US"/>
        </w:rPr>
        <w:t>Anderberg et al. (2007</w:t>
      </w:r>
      <w:r w:rsidRPr="00266486">
        <w:rPr>
          <w:rFonts w:eastAsia="Times New Roman"/>
          <w:color w:val="000000"/>
          <w:lang w:eastAsia="en-US"/>
        </w:rPr>
        <w:t xml:space="preserve">. All voucher specimens are kept in </w:t>
      </w:r>
      <w:r>
        <w:rPr>
          <w:rFonts w:eastAsia="Times New Roman"/>
          <w:color w:val="000000"/>
          <w:lang w:eastAsia="en-US"/>
        </w:rPr>
        <w:t xml:space="preserve">the </w:t>
      </w:r>
      <w:r w:rsidRPr="00266486">
        <w:rPr>
          <w:rFonts w:eastAsia="Times New Roman"/>
          <w:color w:val="000000"/>
          <w:lang w:eastAsia="en-US"/>
        </w:rPr>
        <w:t>Herbarium (</w:t>
      </w:r>
      <w:r>
        <w:rPr>
          <w:rFonts w:eastAsia="Times New Roman"/>
          <w:color w:val="000000"/>
          <w:lang w:eastAsia="en-US"/>
        </w:rPr>
        <w:t>HIB</w:t>
      </w:r>
      <w:r w:rsidRPr="00266486">
        <w:rPr>
          <w:rFonts w:eastAsia="Times New Roman"/>
          <w:color w:val="000000"/>
          <w:lang w:eastAsia="en-US"/>
        </w:rPr>
        <w:t xml:space="preserve">) of </w:t>
      </w:r>
      <w:r>
        <w:rPr>
          <w:rFonts w:eastAsia="Times New Roman"/>
          <w:color w:val="000000"/>
          <w:lang w:eastAsia="en-US"/>
        </w:rPr>
        <w:t>Wuhan Botanical Garden, CAS</w:t>
      </w:r>
      <w:r w:rsidRPr="00266486">
        <w:rPr>
          <w:rFonts w:eastAsia="Times New Roman"/>
          <w:color w:val="000000"/>
          <w:lang w:eastAsia="en-US"/>
        </w:rPr>
        <w:t xml:space="preserve"> except those kept in other herbaria </w:t>
      </w:r>
      <w:r>
        <w:rPr>
          <w:rFonts w:eastAsia="Times New Roman"/>
          <w:color w:val="000000"/>
        </w:rPr>
        <w:t xml:space="preserve">as indicated </w:t>
      </w:r>
      <w:r w:rsidRPr="00266486">
        <w:rPr>
          <w:rFonts w:eastAsia="Times New Roman"/>
          <w:color w:val="000000"/>
          <w:lang w:eastAsia="en-US"/>
        </w:rPr>
        <w:t xml:space="preserve">in parentheses. For details of herbarium abbreviations see </w:t>
      </w:r>
      <w:hyperlink r:id="rId4" w:history="1">
        <w:r w:rsidRPr="00A045A5">
          <w:rPr>
            <w:rStyle w:val="a3"/>
            <w:rFonts w:eastAsia="Times New Roman"/>
            <w:lang w:eastAsia="en-US"/>
          </w:rPr>
          <w:t>http://sciweb.nybg.org/science2/IndexHerbariorum.asp</w:t>
        </w:r>
      </w:hyperlink>
      <w:r w:rsidRPr="00266486">
        <w:rPr>
          <w:rFonts w:eastAsia="Times New Roman"/>
          <w:color w:val="000000"/>
          <w:lang w:eastAsia="en-US"/>
        </w:rPr>
        <w:t>.</w:t>
      </w:r>
    </w:p>
    <w:p w:rsidR="00EA1186" w:rsidRDefault="00EA1186" w:rsidP="00EA1186">
      <w:pPr>
        <w:spacing w:after="180" w:line="340" w:lineRule="exact"/>
        <w:jc w:val="both"/>
        <w:rPr>
          <w:b/>
          <w:color w:val="000000" w:themeColor="text1"/>
        </w:rPr>
      </w:pPr>
      <w:r w:rsidRPr="00266486">
        <w:rPr>
          <w:b/>
          <w:color w:val="000000" w:themeColor="text1"/>
        </w:rPr>
        <w:t>Table S</w:t>
      </w:r>
      <w:r>
        <w:rPr>
          <w:rFonts w:hint="eastAsia"/>
          <w:b/>
          <w:color w:val="000000" w:themeColor="text1"/>
        </w:rPr>
        <w:t>2</w:t>
      </w:r>
      <w:r w:rsidRPr="00266486">
        <w:rPr>
          <w:b/>
          <w:color w:val="000000" w:themeColor="text1"/>
        </w:rPr>
        <w:t>. Statistics of new</w:t>
      </w:r>
      <w:r>
        <w:rPr>
          <w:b/>
          <w:color w:val="000000" w:themeColor="text1"/>
        </w:rPr>
        <w:t>ly</w:t>
      </w:r>
      <w:r w:rsidRPr="00266486">
        <w:rPr>
          <w:b/>
          <w:color w:val="000000" w:themeColor="text1"/>
        </w:rPr>
        <w:t xml:space="preserve"> generated transcriptomes and genomes.</w:t>
      </w:r>
    </w:p>
    <w:p w:rsidR="00EA1186" w:rsidRPr="00266486" w:rsidRDefault="00EA1186" w:rsidP="00EA1186">
      <w:pPr>
        <w:spacing w:after="180" w:line="340" w:lineRule="exact"/>
        <w:jc w:val="both"/>
        <w:rPr>
          <w:b/>
          <w:color w:val="000000" w:themeColor="text1"/>
        </w:rPr>
      </w:pPr>
      <w:r w:rsidRPr="00266486">
        <w:rPr>
          <w:b/>
          <w:color w:val="000000" w:themeColor="text1"/>
        </w:rPr>
        <w:t>Table S</w:t>
      </w:r>
      <w:r>
        <w:rPr>
          <w:rFonts w:hint="eastAsia"/>
          <w:b/>
          <w:color w:val="000000" w:themeColor="text1"/>
        </w:rPr>
        <w:t>3</w:t>
      </w:r>
      <w:r w:rsidRPr="00266486">
        <w:rPr>
          <w:b/>
          <w:color w:val="000000" w:themeColor="text1"/>
        </w:rPr>
        <w:t>. Calibrations implemented in this study.</w:t>
      </w:r>
    </w:p>
    <w:p w:rsidR="00EA1186" w:rsidRPr="00266486" w:rsidRDefault="00EA1186" w:rsidP="00EA1186">
      <w:pPr>
        <w:spacing w:after="180" w:line="340" w:lineRule="exact"/>
        <w:jc w:val="both"/>
        <w:rPr>
          <w:color w:val="000000" w:themeColor="text1"/>
        </w:rPr>
      </w:pPr>
      <w:r w:rsidRPr="00266486">
        <w:t>Numbers corresponds to those noted on colored circles in Figures S1</w:t>
      </w:r>
      <w:r>
        <w:t>6</w:t>
      </w:r>
      <w:r w:rsidRPr="00266486">
        <w:t>, S1</w:t>
      </w:r>
      <w:r>
        <w:t>8</w:t>
      </w:r>
      <w:r w:rsidRPr="00266486">
        <w:t>, S</w:t>
      </w:r>
      <w:r>
        <w:t>20</w:t>
      </w:r>
      <w:r w:rsidRPr="00266486">
        <w:t>, S2</w:t>
      </w:r>
      <w:r>
        <w:t>2</w:t>
      </w:r>
      <w:r w:rsidRPr="00266486">
        <w:t>, and S2</w:t>
      </w:r>
      <w:r>
        <w:t>4</w:t>
      </w:r>
      <w:r w:rsidRPr="00266486">
        <w:t>. core-</w:t>
      </w:r>
      <w:r w:rsidRPr="00266486">
        <w:rPr>
          <w:i/>
        </w:rPr>
        <w:t>Cichorieae</w:t>
      </w:r>
      <w:r w:rsidRPr="00266486">
        <w:t>:</w:t>
      </w:r>
      <w:r w:rsidRPr="00266486">
        <w:rPr>
          <w:color w:val="000000" w:themeColor="text1"/>
        </w:rPr>
        <w:t xml:space="preserve"> species of all subtribes of </w:t>
      </w:r>
      <w:r w:rsidRPr="00266486">
        <w:rPr>
          <w:i/>
          <w:color w:val="000000" w:themeColor="text1"/>
        </w:rPr>
        <w:t>Cichorium</w:t>
      </w:r>
      <w:r w:rsidRPr="00266486">
        <w:rPr>
          <w:color w:val="000000" w:themeColor="text1"/>
        </w:rPr>
        <w:t xml:space="preserve"> except Scorzonerinae and Scolyminae. MRCA: most recent common ancestor. The ages of fossils are set as minimum age constraints in r8s analyses and as offsets in BEAST analyses with lognormal distribution for the prior with mean of 0 and SD of 0.5. A secondary calibration was used to calibrate the age of crown Eudicot according to </w:t>
      </w:r>
      <w:r>
        <w:rPr>
          <w:noProof/>
          <w:color w:val="000000" w:themeColor="text1"/>
        </w:rPr>
        <w:t>Zanne et al. (2014</w:t>
      </w:r>
      <w:r w:rsidRPr="00266486">
        <w:rPr>
          <w:color w:val="000000" w:themeColor="text1"/>
        </w:rPr>
        <w:t xml:space="preserve"> and </w:t>
      </w:r>
      <w:r>
        <w:rPr>
          <w:noProof/>
          <w:color w:val="000000" w:themeColor="text1"/>
        </w:rPr>
        <w:t>Tank et al. (2015</w:t>
      </w:r>
      <w:r w:rsidRPr="00266486">
        <w:rPr>
          <w:color w:val="000000" w:themeColor="text1"/>
        </w:rPr>
        <w:t>; the age 136.9 Mya was used as fixed age in r8s analyses and was set as the offset in BEAST analyses with normal distribution for the prior with mean of 0 and sigma of 1.</w:t>
      </w:r>
    </w:p>
    <w:p w:rsidR="00EA1186" w:rsidRPr="00266486" w:rsidRDefault="00EA1186" w:rsidP="00EA1186">
      <w:pPr>
        <w:spacing w:after="180" w:line="340" w:lineRule="exact"/>
        <w:jc w:val="both"/>
        <w:rPr>
          <w:b/>
          <w:color w:val="000000" w:themeColor="text1"/>
          <w:lang w:eastAsia="zh-TW"/>
        </w:rPr>
      </w:pPr>
      <w:r w:rsidRPr="00266486">
        <w:rPr>
          <w:b/>
          <w:color w:val="000000" w:themeColor="text1"/>
          <w:lang w:eastAsia="zh-TW"/>
        </w:rPr>
        <w:t>Table S</w:t>
      </w:r>
      <w:r>
        <w:rPr>
          <w:rFonts w:hint="eastAsia"/>
          <w:b/>
          <w:color w:val="000000" w:themeColor="text1"/>
        </w:rPr>
        <w:t>4</w:t>
      </w:r>
      <w:r w:rsidRPr="00266486">
        <w:rPr>
          <w:b/>
          <w:color w:val="000000" w:themeColor="text1"/>
          <w:lang w:eastAsia="zh-TW"/>
        </w:rPr>
        <w:t>.</w:t>
      </w:r>
      <w:r w:rsidRPr="00266486">
        <w:rPr>
          <w:b/>
          <w:lang w:eastAsia="zh-TW"/>
        </w:rPr>
        <w:t xml:space="preserve"> Ages of clades of interest from </w:t>
      </w:r>
      <w:r w:rsidRPr="00266486">
        <w:rPr>
          <w:b/>
          <w:color w:val="000000" w:themeColor="text1"/>
          <w:lang w:eastAsia="zh-TW"/>
        </w:rPr>
        <w:t xml:space="preserve">BEAST and r8s analyses. </w:t>
      </w:r>
    </w:p>
    <w:p w:rsidR="00EA1186" w:rsidRPr="00266486" w:rsidRDefault="00EA1186" w:rsidP="00EA1186">
      <w:pPr>
        <w:autoSpaceDE w:val="0"/>
        <w:autoSpaceDN w:val="0"/>
        <w:adjustRightInd w:val="0"/>
        <w:spacing w:after="180" w:line="340" w:lineRule="exact"/>
        <w:jc w:val="both"/>
        <w:rPr>
          <w:color w:val="000000" w:themeColor="text1"/>
        </w:rPr>
      </w:pPr>
      <w:r w:rsidRPr="00266486">
        <w:rPr>
          <w:color w:val="000000" w:themeColor="text1"/>
        </w:rPr>
        <w:t xml:space="preserve">Ages are millions of years. The only difference of calibration sets 1 and 2 was in the use of the </w:t>
      </w:r>
      <w:r w:rsidRPr="00266486">
        <w:rPr>
          <w:i/>
          <w:color w:val="000000" w:themeColor="text1"/>
        </w:rPr>
        <w:t>T. lilliei</w:t>
      </w:r>
      <w:r w:rsidRPr="00266486">
        <w:rPr>
          <w:color w:val="000000" w:themeColor="text1"/>
        </w:rPr>
        <w:t xml:space="preserve"> type A fossil pollen </w:t>
      </w:r>
      <w:r>
        <w:rPr>
          <w:noProof/>
          <w:color w:val="000000" w:themeColor="text1"/>
        </w:rPr>
        <w:t>(Barreda et al., 2015)</w:t>
      </w:r>
      <w:r w:rsidRPr="00266486">
        <w:rPr>
          <w:color w:val="000000" w:themeColor="text1"/>
        </w:rPr>
        <w:t>, which was implemented in set 2 but not set 1. Detailed information of the calibrations is listed in Table S</w:t>
      </w:r>
      <w:r>
        <w:rPr>
          <w:rFonts w:hint="eastAsia"/>
          <w:color w:val="000000" w:themeColor="text1"/>
        </w:rPr>
        <w:t>3</w:t>
      </w:r>
      <w:r w:rsidRPr="00266486">
        <w:rPr>
          <w:color w:val="000000" w:themeColor="text1"/>
        </w:rPr>
        <w:t>.</w:t>
      </w:r>
      <w:r w:rsidRPr="00266486">
        <w:rPr>
          <w:color w:val="000000" w:themeColor="text1"/>
          <w:lang w:eastAsia="zh-TW"/>
        </w:rPr>
        <w:t xml:space="preserve"> </w:t>
      </w:r>
      <w:r w:rsidRPr="00266486">
        <w:rPr>
          <w:color w:val="000000" w:themeColor="text1"/>
        </w:rPr>
        <w:t>HPD: highest posterior distribution of estimated ages. MRCA: most recent common ancestor. Cichorioideae-C: Cichorieae clade. Cichorioideae-A+V+L: Clade containing Arctotideae, Vernonieae and Liabeae. core-Asteraceae: The large clade from Asteroideae to Stifftioideae. A, C, G, M: Asteroideae,</w:t>
      </w:r>
      <w:r w:rsidRPr="00266486">
        <w:rPr>
          <w:rFonts w:eastAsia="宋体"/>
          <w:color w:val="000000" w:themeColor="text1"/>
        </w:rPr>
        <w:t xml:space="preserve"> Calyceraceae, Goodeniaceae, Menyanthaceae.</w:t>
      </w:r>
    </w:p>
    <w:p w:rsidR="00EA1186" w:rsidRPr="00266486" w:rsidRDefault="00EA1186" w:rsidP="00EA1186">
      <w:pPr>
        <w:spacing w:after="180" w:line="340" w:lineRule="exact"/>
        <w:jc w:val="both"/>
        <w:rPr>
          <w:b/>
          <w:color w:val="000000" w:themeColor="text1"/>
        </w:rPr>
      </w:pPr>
      <w:r w:rsidRPr="00266486">
        <w:rPr>
          <w:b/>
          <w:color w:val="000000" w:themeColor="text1"/>
        </w:rPr>
        <w:t>Table S</w:t>
      </w:r>
      <w:r>
        <w:rPr>
          <w:rFonts w:hint="eastAsia"/>
          <w:b/>
          <w:color w:val="000000" w:themeColor="text1"/>
        </w:rPr>
        <w:t>5</w:t>
      </w:r>
      <w:r w:rsidRPr="00266486">
        <w:rPr>
          <w:b/>
          <w:color w:val="000000" w:themeColor="text1"/>
        </w:rPr>
        <w:t>. Sampling fractions for BAMM analyses.</w:t>
      </w:r>
    </w:p>
    <w:p w:rsidR="00EA1186" w:rsidRDefault="00EA1186" w:rsidP="00EA1186">
      <w:pPr>
        <w:spacing w:after="180" w:line="340" w:lineRule="exact"/>
        <w:jc w:val="both"/>
      </w:pPr>
      <w:r w:rsidRPr="00266486">
        <w:rPr>
          <w:lang w:eastAsia="zh-TW"/>
        </w:rPr>
        <w:lastRenderedPageBreak/>
        <w:t>Value in the first row is the sampling fraction for the backbone as [species number of sampled tribes (and families for outgroups) / total species numbers in the tree], whereas values in the right column is sampling fractions for each tribe (and family for outgroups) as the percentage of sampled species of each tribe (or family). The numbers of taxa for each tribe are shown in Figure S28, except that the splitting tribes whose richness were separated in MEDUSA are considered as one tribe for the sampling fractions in BAMM.</w:t>
      </w:r>
    </w:p>
    <w:p w:rsidR="00EA1186" w:rsidRPr="00C06E29" w:rsidRDefault="00EA1186" w:rsidP="00EA1186">
      <w:pPr>
        <w:spacing w:after="180" w:line="340" w:lineRule="exact"/>
        <w:jc w:val="both"/>
        <w:rPr>
          <w:b/>
          <w:bCs/>
          <w:lang w:eastAsia="zh-TW"/>
        </w:rPr>
      </w:pPr>
      <w:r w:rsidRPr="00C06E29">
        <w:rPr>
          <w:b/>
          <w:bCs/>
          <w:lang w:eastAsia="zh-TW"/>
        </w:rPr>
        <w:t>Table S</w:t>
      </w:r>
      <w:r>
        <w:rPr>
          <w:rFonts w:hint="eastAsia"/>
          <w:b/>
          <w:bCs/>
        </w:rPr>
        <w:t>6</w:t>
      </w:r>
      <w:r w:rsidRPr="00C06E29">
        <w:rPr>
          <w:b/>
          <w:bCs/>
          <w:lang w:eastAsia="zh-TW"/>
        </w:rPr>
        <w:t>. Matri</w:t>
      </w:r>
      <w:r>
        <w:rPr>
          <w:b/>
          <w:bCs/>
          <w:lang w:eastAsia="zh-TW"/>
        </w:rPr>
        <w:t>ces</w:t>
      </w:r>
      <w:r w:rsidRPr="00C06E29">
        <w:rPr>
          <w:b/>
          <w:bCs/>
          <w:lang w:eastAsia="zh-TW"/>
        </w:rPr>
        <w:t xml:space="preserve"> of </w:t>
      </w:r>
      <w:r>
        <w:rPr>
          <w:b/>
          <w:bCs/>
          <w:lang w:eastAsia="zh-TW"/>
        </w:rPr>
        <w:t>seven</w:t>
      </w:r>
      <w:r w:rsidRPr="00C06E29">
        <w:rPr>
          <w:b/>
          <w:bCs/>
          <w:lang w:eastAsia="zh-TW"/>
        </w:rPr>
        <w:t xml:space="preserve"> morphological</w:t>
      </w:r>
      <w:r>
        <w:rPr>
          <w:b/>
          <w:bCs/>
          <w:lang w:eastAsia="zh-TW"/>
        </w:rPr>
        <w:t xml:space="preserve"> characters</w:t>
      </w:r>
      <w:r w:rsidRPr="00C06E29">
        <w:rPr>
          <w:b/>
          <w:bCs/>
          <w:lang w:eastAsia="zh-TW"/>
        </w:rPr>
        <w:t>.</w:t>
      </w:r>
    </w:p>
    <w:p w:rsidR="00EA1186" w:rsidRDefault="00EA1186" w:rsidP="00EA1186">
      <w:pPr>
        <w:spacing w:after="180" w:line="340" w:lineRule="exact"/>
        <w:jc w:val="both"/>
        <w:rPr>
          <w:color w:val="000000" w:themeColor="text1"/>
        </w:rPr>
      </w:pPr>
      <w:r w:rsidRPr="00366630">
        <w:rPr>
          <w:lang w:eastAsia="zh-TW"/>
        </w:rPr>
        <w:t xml:space="preserve">The character </w:t>
      </w:r>
      <w:r>
        <w:rPr>
          <w:lang w:eastAsia="zh-TW"/>
        </w:rPr>
        <w:t>states</w:t>
      </w:r>
      <w:r w:rsidRPr="00366630">
        <w:rPr>
          <w:lang w:eastAsia="zh-TW"/>
        </w:rPr>
        <w:t xml:space="preserve"> for each genus </w:t>
      </w:r>
      <w:r>
        <w:rPr>
          <w:lang w:eastAsia="zh-TW"/>
        </w:rPr>
        <w:t>are</w:t>
      </w:r>
      <w:r>
        <w:rPr>
          <w:color w:val="000000" w:themeColor="text1"/>
        </w:rPr>
        <w:t xml:space="preserve"> coded as below: </w:t>
      </w:r>
      <w:r w:rsidRPr="00C75C6E">
        <w:rPr>
          <w:color w:val="000000" w:themeColor="text1"/>
        </w:rPr>
        <w:t xml:space="preserve">habit (woody [0] or herbaceous [1]), </w:t>
      </w:r>
      <w:r>
        <w:rPr>
          <w:color w:val="000000" w:themeColor="text1"/>
        </w:rPr>
        <w:t>inflore</w:t>
      </w:r>
      <w:r w:rsidRPr="00C75C6E">
        <w:rPr>
          <w:color w:val="000000" w:themeColor="text1"/>
        </w:rPr>
        <w:t xml:space="preserve">scence (solitary [0] or </w:t>
      </w:r>
      <w:r>
        <w:rPr>
          <w:color w:val="000000" w:themeColor="text1"/>
        </w:rPr>
        <w:t>capitulescence</w:t>
      </w:r>
      <w:r w:rsidRPr="00C75C6E">
        <w:rPr>
          <w:color w:val="000000" w:themeColor="text1"/>
        </w:rPr>
        <w:t xml:space="preserve"> [1]), capitul</w:t>
      </w:r>
      <w:r>
        <w:rPr>
          <w:color w:val="000000" w:themeColor="text1"/>
        </w:rPr>
        <w:t>um</w:t>
      </w:r>
      <w:r w:rsidRPr="00C75C6E">
        <w:rPr>
          <w:color w:val="000000" w:themeColor="text1"/>
        </w:rPr>
        <w:t xml:space="preserve"> sex</w:t>
      </w:r>
      <w:r>
        <w:rPr>
          <w:color w:val="000000" w:themeColor="text1"/>
        </w:rPr>
        <w:t>ual</w:t>
      </w:r>
      <w:r w:rsidRPr="00C75C6E">
        <w:rPr>
          <w:color w:val="000000" w:themeColor="text1"/>
        </w:rPr>
        <w:t xml:space="preserve"> differentiation (homogenous [1] or heterogenous [2]), capitul</w:t>
      </w:r>
      <w:r>
        <w:rPr>
          <w:color w:val="000000" w:themeColor="text1"/>
        </w:rPr>
        <w:t>um</w:t>
      </w:r>
      <w:r w:rsidRPr="00C75C6E">
        <w:rPr>
          <w:color w:val="000000" w:themeColor="text1"/>
        </w:rPr>
        <w:t xml:space="preserve"> type (discoid [0], </w:t>
      </w:r>
      <w:r>
        <w:rPr>
          <w:color w:val="000000" w:themeColor="text1"/>
        </w:rPr>
        <w:t xml:space="preserve">disciform [1], </w:t>
      </w:r>
      <w:r w:rsidRPr="00C75C6E">
        <w:rPr>
          <w:color w:val="000000" w:themeColor="text1"/>
        </w:rPr>
        <w:t>radiate [2],</w:t>
      </w:r>
      <w:r>
        <w:rPr>
          <w:color w:val="000000" w:themeColor="text1"/>
        </w:rPr>
        <w:t xml:space="preserve"> </w:t>
      </w:r>
      <w:r w:rsidRPr="00C75C6E">
        <w:rPr>
          <w:color w:val="000000" w:themeColor="text1"/>
        </w:rPr>
        <w:t>radiant [3]</w:t>
      </w:r>
      <w:r>
        <w:rPr>
          <w:color w:val="000000" w:themeColor="text1"/>
        </w:rPr>
        <w:t xml:space="preserve">, </w:t>
      </w:r>
      <w:r>
        <w:rPr>
          <w:rFonts w:hint="eastAsia"/>
          <w:color w:val="000000" w:themeColor="text1"/>
        </w:rPr>
        <w:t>radiate-like</w:t>
      </w:r>
      <w:r>
        <w:rPr>
          <w:color w:val="000000" w:themeColor="text1"/>
        </w:rPr>
        <w:t xml:space="preserve"> [4] or ligulate [5]</w:t>
      </w:r>
      <w:r w:rsidRPr="00C75C6E">
        <w:rPr>
          <w:color w:val="000000" w:themeColor="text1"/>
        </w:rPr>
        <w:t>), corollas in a capitul</w:t>
      </w:r>
      <w:r>
        <w:rPr>
          <w:rFonts w:hint="eastAsia"/>
          <w:color w:val="000000" w:themeColor="text1"/>
        </w:rPr>
        <w:t>um</w:t>
      </w:r>
      <w:r w:rsidRPr="00C75C6E">
        <w:rPr>
          <w:color w:val="000000" w:themeColor="text1"/>
        </w:rPr>
        <w:t xml:space="preserve"> (iso</w:t>
      </w:r>
      <w:r>
        <w:rPr>
          <w:color w:val="000000" w:themeColor="text1"/>
        </w:rPr>
        <w:t>m</w:t>
      </w:r>
      <w:r w:rsidRPr="00C75C6E">
        <w:rPr>
          <w:color w:val="000000" w:themeColor="text1"/>
        </w:rPr>
        <w:t>or</w:t>
      </w:r>
      <w:r>
        <w:rPr>
          <w:color w:val="000000" w:themeColor="text1"/>
        </w:rPr>
        <w:t>ph</w:t>
      </w:r>
      <w:r w:rsidRPr="00C75C6E">
        <w:rPr>
          <w:color w:val="000000" w:themeColor="text1"/>
        </w:rPr>
        <w:t>ic [0] or heteromorphic [1]), pappus (absent [0], capillary [1], scaly [2], or plumose [3]), and receptac</w:t>
      </w:r>
      <w:r>
        <w:rPr>
          <w:color w:val="000000" w:themeColor="text1"/>
        </w:rPr>
        <w:t>u</w:t>
      </w:r>
      <w:r w:rsidRPr="00C75C6E">
        <w:rPr>
          <w:color w:val="000000" w:themeColor="text1"/>
        </w:rPr>
        <w:t>l</w:t>
      </w:r>
      <w:r>
        <w:rPr>
          <w:color w:val="000000" w:themeColor="text1"/>
        </w:rPr>
        <w:t>ar bract</w:t>
      </w:r>
      <w:r w:rsidRPr="00C75C6E">
        <w:rPr>
          <w:color w:val="000000" w:themeColor="text1"/>
        </w:rPr>
        <w:t xml:space="preserve"> (epaleate [0] or paleate [1])</w:t>
      </w:r>
      <w:r>
        <w:rPr>
          <w:color w:val="000000" w:themeColor="text1"/>
        </w:rPr>
        <w:t>.</w:t>
      </w:r>
    </w:p>
    <w:p w:rsidR="00EA1186" w:rsidRPr="00266486" w:rsidRDefault="00EA1186" w:rsidP="00EA1186">
      <w:pPr>
        <w:spacing w:after="180" w:line="340" w:lineRule="exact"/>
        <w:jc w:val="both"/>
        <w:rPr>
          <w:b/>
          <w:color w:val="000000" w:themeColor="text1"/>
        </w:rPr>
      </w:pPr>
      <w:r w:rsidRPr="00266486">
        <w:rPr>
          <w:b/>
          <w:color w:val="000000" w:themeColor="text1"/>
        </w:rPr>
        <w:t>Table S</w:t>
      </w:r>
      <w:r>
        <w:rPr>
          <w:rFonts w:hint="eastAsia"/>
          <w:b/>
          <w:color w:val="000000" w:themeColor="text1"/>
        </w:rPr>
        <w:t>7</w:t>
      </w:r>
      <w:r w:rsidRPr="00266486">
        <w:rPr>
          <w:b/>
          <w:color w:val="000000" w:themeColor="text1"/>
        </w:rPr>
        <w:t>. Information for 36 species used for selecting orthologous genes for Asteraceae from 4180 ORGs.</w:t>
      </w:r>
    </w:p>
    <w:p w:rsidR="00EA1186" w:rsidRPr="00266486" w:rsidRDefault="00EA1186" w:rsidP="00EA1186">
      <w:pPr>
        <w:spacing w:after="180" w:line="340" w:lineRule="exact"/>
        <w:jc w:val="both"/>
        <w:rPr>
          <w:b/>
          <w:color w:val="000000" w:themeColor="text1"/>
        </w:rPr>
      </w:pPr>
      <w:r w:rsidRPr="00266486">
        <w:rPr>
          <w:b/>
          <w:color w:val="000000" w:themeColor="text1"/>
        </w:rPr>
        <w:t>Table S</w:t>
      </w:r>
      <w:r>
        <w:rPr>
          <w:rFonts w:hint="eastAsia"/>
          <w:b/>
          <w:color w:val="000000" w:themeColor="text1"/>
        </w:rPr>
        <w:t>8</w:t>
      </w:r>
      <w:r w:rsidRPr="00266486">
        <w:rPr>
          <w:b/>
          <w:color w:val="000000" w:themeColor="text1"/>
        </w:rPr>
        <w:t>. Information on 4180 putative orthologous genes in 36 species.</w:t>
      </w:r>
    </w:p>
    <w:p w:rsidR="00EA1186" w:rsidRPr="00266486" w:rsidRDefault="00EA1186" w:rsidP="00EA1186">
      <w:pPr>
        <w:spacing w:after="180" w:line="340" w:lineRule="exact"/>
        <w:jc w:val="both"/>
        <w:rPr>
          <w:b/>
          <w:color w:val="000000" w:themeColor="text1"/>
        </w:rPr>
      </w:pPr>
      <w:r w:rsidRPr="00266486">
        <w:rPr>
          <w:b/>
          <w:color w:val="000000" w:themeColor="text1"/>
        </w:rPr>
        <w:t>Table S</w:t>
      </w:r>
      <w:r>
        <w:rPr>
          <w:rFonts w:hint="eastAsia"/>
          <w:b/>
          <w:color w:val="000000" w:themeColor="text1"/>
        </w:rPr>
        <w:t>9</w:t>
      </w:r>
      <w:r w:rsidRPr="00266486">
        <w:rPr>
          <w:b/>
          <w:color w:val="000000" w:themeColor="text1"/>
        </w:rPr>
        <w:t>. Statistics of genes used in this study.</w:t>
      </w:r>
    </w:p>
    <w:p w:rsidR="00EA1186" w:rsidRPr="00266486" w:rsidRDefault="00EA1186" w:rsidP="00EA1186">
      <w:pPr>
        <w:spacing w:after="180" w:line="340" w:lineRule="exact"/>
        <w:jc w:val="both"/>
        <w:rPr>
          <w:rFonts w:eastAsia="Times New Roman"/>
          <w:color w:val="333333"/>
          <w:lang w:eastAsia="en-US"/>
        </w:rPr>
      </w:pPr>
      <w:r w:rsidRPr="00266486">
        <w:rPr>
          <w:color w:val="000000" w:themeColor="text1"/>
        </w:rPr>
        <w:t>Gene set numbers (column B) are according to those in Figure S</w:t>
      </w:r>
      <w:r>
        <w:rPr>
          <w:color w:val="000000" w:themeColor="text1"/>
        </w:rPr>
        <w:t>2</w:t>
      </w:r>
      <w:r w:rsidRPr="00266486">
        <w:rPr>
          <w:color w:val="000000" w:themeColor="text1"/>
        </w:rPr>
        <w:t xml:space="preserve"> and indicate that the gene is included in those set(s) that is(are) numbered here.</w:t>
      </w:r>
      <w:r w:rsidRPr="00266486">
        <w:rPr>
          <w:color w:val="000000" w:themeColor="text1"/>
        </w:rPr>
        <w:br/>
      </w:r>
      <w:r w:rsidRPr="00266486">
        <w:rPr>
          <w:rFonts w:eastAsia="Times New Roman"/>
          <w:color w:val="333333"/>
          <w:lang w:eastAsia="en-US"/>
        </w:rPr>
        <w:t xml:space="preserve">The corresponding gene IDs and lengths in </w:t>
      </w:r>
      <w:r w:rsidRPr="00266486">
        <w:rPr>
          <w:rFonts w:eastAsia="Times New Roman"/>
          <w:i/>
          <w:iCs/>
          <w:color w:val="333333"/>
          <w:lang w:eastAsia="en-US"/>
        </w:rPr>
        <w:t>Arabidop</w:t>
      </w:r>
      <w:r>
        <w:rPr>
          <w:rFonts w:eastAsia="Times New Roman"/>
          <w:i/>
          <w:iCs/>
          <w:color w:val="333333"/>
          <w:lang w:eastAsia="en-US"/>
        </w:rPr>
        <w:t>s</w:t>
      </w:r>
      <w:r w:rsidRPr="00266486">
        <w:rPr>
          <w:rFonts w:eastAsia="Times New Roman"/>
          <w:i/>
          <w:iCs/>
          <w:color w:val="333333"/>
          <w:lang w:eastAsia="en-US"/>
        </w:rPr>
        <w:t>is thaliana</w:t>
      </w:r>
      <w:r w:rsidRPr="00266486">
        <w:rPr>
          <w:rFonts w:eastAsia="Times New Roman"/>
          <w:color w:val="333333"/>
          <w:lang w:eastAsia="en-US"/>
        </w:rPr>
        <w:t xml:space="preserve"> (columns K and L) and </w:t>
      </w:r>
      <w:r w:rsidRPr="00266486">
        <w:rPr>
          <w:rFonts w:eastAsia="Times New Roman"/>
          <w:i/>
          <w:iCs/>
          <w:color w:val="333333"/>
          <w:lang w:eastAsia="en-US"/>
        </w:rPr>
        <w:t xml:space="preserve">Solanum lycopersicum </w:t>
      </w:r>
      <w:r w:rsidRPr="00266486">
        <w:rPr>
          <w:rFonts w:eastAsia="Times New Roman"/>
          <w:color w:val="333333"/>
          <w:lang w:eastAsia="en-US"/>
        </w:rPr>
        <w:t xml:space="preserve">(columns M and N) were obtained from TAIR10 (http://www.arabidopsis.org) and the tomato genome of the ITAG3.0 annotation version (https://solgenomics.net), respectively. The corresponding gene IDs of </w:t>
      </w:r>
      <w:r w:rsidRPr="00266486">
        <w:rPr>
          <w:rFonts w:eastAsia="Times New Roman"/>
          <w:i/>
          <w:iCs/>
          <w:color w:val="333333"/>
          <w:lang w:eastAsia="en-US"/>
        </w:rPr>
        <w:t>Helianthus ann</w:t>
      </w:r>
      <w:r>
        <w:rPr>
          <w:rFonts w:eastAsia="Times New Roman"/>
          <w:i/>
          <w:iCs/>
          <w:color w:val="333333"/>
          <w:lang w:eastAsia="en-US"/>
        </w:rPr>
        <w:t>u</w:t>
      </w:r>
      <w:r w:rsidRPr="00266486">
        <w:rPr>
          <w:rFonts w:eastAsia="Times New Roman"/>
          <w:i/>
          <w:iCs/>
          <w:color w:val="333333"/>
          <w:lang w:eastAsia="en-US"/>
        </w:rPr>
        <w:t>us</w:t>
      </w:r>
      <w:r w:rsidRPr="00266486">
        <w:rPr>
          <w:rFonts w:eastAsia="Times New Roman"/>
          <w:color w:val="333333"/>
          <w:lang w:eastAsia="en-US"/>
        </w:rPr>
        <w:t xml:space="preserve"> (column O) and </w:t>
      </w:r>
      <w:r w:rsidRPr="00266486">
        <w:rPr>
          <w:rFonts w:eastAsia="Times New Roman"/>
          <w:i/>
          <w:iCs/>
          <w:color w:val="333333"/>
          <w:lang w:eastAsia="en-US"/>
        </w:rPr>
        <w:t xml:space="preserve">Lactuca sativa </w:t>
      </w:r>
      <w:r w:rsidRPr="00266486">
        <w:rPr>
          <w:rFonts w:eastAsia="Times New Roman"/>
          <w:iCs/>
          <w:color w:val="333333"/>
          <w:lang w:eastAsia="en-US"/>
        </w:rPr>
        <w:t>(Column P)</w:t>
      </w:r>
      <w:r w:rsidRPr="00266486">
        <w:rPr>
          <w:rFonts w:eastAsia="Times New Roman"/>
          <w:i/>
          <w:iCs/>
          <w:color w:val="333333"/>
          <w:lang w:eastAsia="en-US"/>
        </w:rPr>
        <w:t xml:space="preserve"> </w:t>
      </w:r>
      <w:r w:rsidRPr="00266486">
        <w:rPr>
          <w:rFonts w:eastAsia="Times New Roman"/>
          <w:color w:val="333333"/>
          <w:lang w:eastAsia="en-US"/>
        </w:rPr>
        <w:t>were obtained from Phytozome v12 (https://phytozome.jgi.doe.gov/).</w:t>
      </w:r>
    </w:p>
    <w:p w:rsidR="00EA1186" w:rsidRPr="00266486" w:rsidRDefault="00EA1186" w:rsidP="00EA1186">
      <w:pPr>
        <w:spacing w:after="180" w:line="340" w:lineRule="exact"/>
        <w:jc w:val="both"/>
        <w:rPr>
          <w:lang w:eastAsia="zh-TW"/>
        </w:rPr>
      </w:pPr>
    </w:p>
    <w:p w:rsidR="00EA1186" w:rsidRPr="00266486" w:rsidRDefault="00EA1186" w:rsidP="00EA1186">
      <w:pPr>
        <w:spacing w:after="180" w:line="340" w:lineRule="exact"/>
        <w:jc w:val="both"/>
        <w:rPr>
          <w:b/>
          <w:lang w:eastAsia="zh-TW"/>
        </w:rPr>
      </w:pPr>
    </w:p>
    <w:p w:rsidR="00EA1186" w:rsidRDefault="00EA1186" w:rsidP="00EA1186">
      <w:pPr>
        <w:spacing w:after="180" w:line="340" w:lineRule="exact"/>
        <w:rPr>
          <w:b/>
          <w:lang w:eastAsia="zh-TW"/>
        </w:rPr>
      </w:pPr>
      <w:r>
        <w:rPr>
          <w:b/>
          <w:lang w:eastAsia="zh-TW"/>
        </w:rPr>
        <w:br w:type="page"/>
      </w:r>
    </w:p>
    <w:p w:rsidR="00EA1186" w:rsidRPr="00266486" w:rsidRDefault="00EA1186" w:rsidP="00EA1186">
      <w:pPr>
        <w:spacing w:after="180" w:line="340" w:lineRule="exact"/>
        <w:jc w:val="both"/>
        <w:rPr>
          <w:b/>
          <w:lang w:eastAsia="zh-TW"/>
        </w:rPr>
      </w:pPr>
      <w:r w:rsidRPr="00266486">
        <w:rPr>
          <w:b/>
          <w:lang w:eastAsia="zh-TW"/>
        </w:rPr>
        <w:lastRenderedPageBreak/>
        <w:t>References</w:t>
      </w:r>
    </w:p>
    <w:p w:rsidR="00EA1186" w:rsidRPr="0074502B" w:rsidRDefault="00EA1186" w:rsidP="00EA1186">
      <w:pPr>
        <w:pStyle w:val="EndNoteBibliography"/>
        <w:spacing w:after="180" w:line="340" w:lineRule="exact"/>
        <w:ind w:left="720" w:hanging="720"/>
        <w:rPr>
          <w:noProof/>
        </w:rPr>
      </w:pPr>
      <w:bookmarkStart w:id="1" w:name="_ENREF_1"/>
      <w:r w:rsidRPr="0074502B">
        <w:rPr>
          <w:b/>
          <w:noProof/>
        </w:rPr>
        <w:t xml:space="preserve">Alfaro, M.E., Santini, F., Brock, C., Alamillo, H., Dornburg, A., Rabosky, D.L., Carnevale, G., and Harmon, L.J. </w:t>
      </w:r>
      <w:r w:rsidRPr="0074502B">
        <w:rPr>
          <w:noProof/>
        </w:rPr>
        <w:t xml:space="preserve">(2009). Nine exceptional radiations plus high turnover explain species diversity in jawed vertebrates. Proc. Natl. Acad. Sci. USA </w:t>
      </w:r>
      <w:r w:rsidRPr="0074502B">
        <w:rPr>
          <w:b/>
          <w:noProof/>
        </w:rPr>
        <w:t xml:space="preserve">106: </w:t>
      </w:r>
      <w:r w:rsidRPr="0074502B">
        <w:rPr>
          <w:noProof/>
        </w:rPr>
        <w:t>13410-13414.</w:t>
      </w:r>
      <w:bookmarkEnd w:id="1"/>
    </w:p>
    <w:p w:rsidR="00EA1186" w:rsidRPr="0074502B" w:rsidRDefault="00EA1186" w:rsidP="00EA1186">
      <w:pPr>
        <w:pStyle w:val="EndNoteBibliography"/>
        <w:spacing w:after="180" w:line="340" w:lineRule="exact"/>
        <w:ind w:left="720" w:hanging="720"/>
        <w:rPr>
          <w:noProof/>
        </w:rPr>
      </w:pPr>
      <w:bookmarkStart w:id="2" w:name="_ENREF_2"/>
      <w:r w:rsidRPr="0074502B">
        <w:rPr>
          <w:b/>
          <w:noProof/>
        </w:rPr>
        <w:t>Anderberg, A.A., Baldwin, B.G., Bayer, R.G., Breitwieser, J., Jeffrey, C., Dillon, M.O., Eldenäs, P., Funk, V., Garcia-Jacas, N., Hind, D.J.N., Karis, P.O., Lack, H.W., Nesom, G., Nordenstam, B., Oberprieler, C., Panero, J.L., Puttock, C., Robinson, H., Stuessy, T.F., Susanna, A., Urtubey, E., Vogt, R., Ward, J., and Watson, L.E.</w:t>
      </w:r>
      <w:r w:rsidRPr="0074502B">
        <w:rPr>
          <w:noProof/>
        </w:rPr>
        <w:t xml:space="preserve"> (2007).  Compositae. In: The Families and Genera of Vascular Plants, vol. 8. Flowering Plants, Eudicots, Asterales--Kadereit, J., and Jeffrey, C., eds. Berlin and Heidelberg: Springer. 61-588.</w:t>
      </w:r>
      <w:bookmarkEnd w:id="2"/>
    </w:p>
    <w:p w:rsidR="00EA1186" w:rsidRPr="0074502B" w:rsidRDefault="00EA1186" w:rsidP="00EA1186">
      <w:pPr>
        <w:pStyle w:val="EndNoteBibliography"/>
        <w:spacing w:after="180" w:line="340" w:lineRule="exact"/>
        <w:ind w:left="720" w:hanging="720"/>
        <w:rPr>
          <w:noProof/>
        </w:rPr>
      </w:pPr>
      <w:bookmarkStart w:id="3" w:name="_ENREF_3"/>
      <w:r w:rsidRPr="0074502B">
        <w:rPr>
          <w:b/>
          <w:noProof/>
        </w:rPr>
        <w:t xml:space="preserve">Barreda, V.D., Palazzesi, L., Tellería, M.C., Olivero, E.B., Raine, J.I., and Forest, F. </w:t>
      </w:r>
      <w:r w:rsidRPr="0074502B">
        <w:rPr>
          <w:noProof/>
        </w:rPr>
        <w:t xml:space="preserve">(2015). Early evolution of the angiosperm clade Asteraceae in the Cretaceous of Antarctica. Proc. Natl. Acad. Sci. USA </w:t>
      </w:r>
      <w:r w:rsidRPr="0074502B">
        <w:rPr>
          <w:b/>
          <w:noProof/>
        </w:rPr>
        <w:t xml:space="preserve">112: </w:t>
      </w:r>
      <w:r w:rsidRPr="0074502B">
        <w:rPr>
          <w:noProof/>
        </w:rPr>
        <w:t>10989-10994.</w:t>
      </w:r>
      <w:bookmarkEnd w:id="3"/>
    </w:p>
    <w:p w:rsidR="00EA1186" w:rsidRPr="0074502B" w:rsidRDefault="00EA1186" w:rsidP="00EA1186">
      <w:pPr>
        <w:pStyle w:val="EndNoteBibliography"/>
        <w:spacing w:after="180" w:line="340" w:lineRule="exact"/>
        <w:ind w:left="720" w:hanging="720"/>
        <w:rPr>
          <w:noProof/>
        </w:rPr>
      </w:pPr>
      <w:bookmarkStart w:id="4" w:name="_ENREF_4"/>
      <w:r w:rsidRPr="0074502B">
        <w:rPr>
          <w:b/>
          <w:noProof/>
        </w:rPr>
        <w:t xml:space="preserve">Barreda, V.D., Palazzesi, L., Tellería, M.C., Olivero, E.B., Raine, J.I., and Forest, F. </w:t>
      </w:r>
      <w:r w:rsidRPr="0074502B">
        <w:rPr>
          <w:noProof/>
        </w:rPr>
        <w:t xml:space="preserve">(2016). Reply to Panero: Robust phylogenetic placement of fossil pollen grains: The case of Asteraceae. Proc. Natl. Acad. Sci. USA </w:t>
      </w:r>
      <w:r w:rsidRPr="0074502B">
        <w:rPr>
          <w:b/>
          <w:noProof/>
        </w:rPr>
        <w:t xml:space="preserve">113: </w:t>
      </w:r>
      <w:r w:rsidRPr="0074502B">
        <w:rPr>
          <w:noProof/>
        </w:rPr>
        <w:t>E412.</w:t>
      </w:r>
      <w:bookmarkEnd w:id="4"/>
    </w:p>
    <w:p w:rsidR="00EA1186" w:rsidRPr="0074502B" w:rsidRDefault="00EA1186" w:rsidP="00EA1186">
      <w:pPr>
        <w:pStyle w:val="EndNoteBibliography"/>
        <w:spacing w:after="180" w:line="340" w:lineRule="exact"/>
        <w:ind w:left="720" w:hanging="720"/>
        <w:rPr>
          <w:noProof/>
        </w:rPr>
      </w:pPr>
      <w:bookmarkStart w:id="5" w:name="_ENREF_5"/>
      <w:r w:rsidRPr="0074502B">
        <w:rPr>
          <w:b/>
          <w:noProof/>
        </w:rPr>
        <w:t xml:space="preserve">Barres, L., Sanmartín, I., Anderson, C.L., Susanna, A., Buerki, S., Galbany-Casals, M., and Vilatersana, R. </w:t>
      </w:r>
      <w:r w:rsidRPr="0074502B">
        <w:rPr>
          <w:noProof/>
        </w:rPr>
        <w:t xml:space="preserve">(2013). Reconstructing the evolution and biogeographic history of tribe Cardueae (Compositae). Am. J. Bot. </w:t>
      </w:r>
      <w:r w:rsidRPr="0074502B">
        <w:rPr>
          <w:b/>
          <w:noProof/>
        </w:rPr>
        <w:t xml:space="preserve">100: </w:t>
      </w:r>
      <w:r w:rsidRPr="0074502B">
        <w:rPr>
          <w:noProof/>
        </w:rPr>
        <w:t>867-882.</w:t>
      </w:r>
      <w:bookmarkEnd w:id="5"/>
    </w:p>
    <w:p w:rsidR="00EA1186" w:rsidRPr="0074502B" w:rsidRDefault="00EA1186" w:rsidP="00EA1186">
      <w:pPr>
        <w:pStyle w:val="EndNoteBibliography"/>
        <w:spacing w:after="180" w:line="340" w:lineRule="exact"/>
        <w:ind w:left="720" w:hanging="720"/>
        <w:rPr>
          <w:noProof/>
        </w:rPr>
      </w:pPr>
      <w:bookmarkStart w:id="6" w:name="_ENREF_6"/>
      <w:r w:rsidRPr="0074502B">
        <w:rPr>
          <w:b/>
          <w:noProof/>
        </w:rPr>
        <w:t xml:space="preserve">Bolger, A.M., Lohse, M., and Usadel, B. </w:t>
      </w:r>
      <w:r w:rsidRPr="0074502B">
        <w:rPr>
          <w:noProof/>
        </w:rPr>
        <w:t xml:space="preserve">(2014). Trimmomatic: a flexible trimmer for Illumina sequence data. Bioinformatics </w:t>
      </w:r>
      <w:r w:rsidRPr="0074502B">
        <w:rPr>
          <w:b/>
          <w:noProof/>
        </w:rPr>
        <w:t xml:space="preserve">30: </w:t>
      </w:r>
      <w:r w:rsidRPr="0074502B">
        <w:rPr>
          <w:noProof/>
        </w:rPr>
        <w:t>2114-2120.</w:t>
      </w:r>
      <w:bookmarkEnd w:id="6"/>
    </w:p>
    <w:p w:rsidR="00EA1186" w:rsidRPr="0074502B" w:rsidRDefault="00EA1186" w:rsidP="00EA1186">
      <w:pPr>
        <w:pStyle w:val="EndNoteBibliography"/>
        <w:spacing w:after="180" w:line="340" w:lineRule="exact"/>
        <w:ind w:left="720" w:hanging="720"/>
        <w:rPr>
          <w:noProof/>
        </w:rPr>
      </w:pPr>
      <w:bookmarkStart w:id="7" w:name="_ENREF_7"/>
      <w:r w:rsidRPr="0074502B">
        <w:rPr>
          <w:b/>
          <w:noProof/>
        </w:rPr>
        <w:t>Bonifacino, J.M., Robinson, H., Funk, V.A., Lack, H.W., Wagenitz, G., Feuillet, C., and Hind, D.J.N.</w:t>
      </w:r>
      <w:r w:rsidRPr="0074502B">
        <w:rPr>
          <w:noProof/>
        </w:rPr>
        <w:t xml:space="preserve"> (2009).  A history of research in Compositae: early beginnings to the Reading Meeting (1975). In: Systematics, Evolution and Biogeography of the Compositae--Funk, V.A., Susana, A., Stuessy, T.F., and Bayer, R.J., eds. Vienna: International Association for Plant Taxonomy. 3-38.</w:t>
      </w:r>
      <w:bookmarkEnd w:id="7"/>
    </w:p>
    <w:p w:rsidR="00EA1186" w:rsidRPr="0074502B" w:rsidRDefault="00EA1186" w:rsidP="00EA1186">
      <w:pPr>
        <w:pStyle w:val="EndNoteBibliography"/>
        <w:spacing w:after="180" w:line="340" w:lineRule="exact"/>
        <w:ind w:left="720" w:hanging="720"/>
        <w:rPr>
          <w:noProof/>
        </w:rPr>
      </w:pPr>
      <w:bookmarkStart w:id="8" w:name="_ENREF_8"/>
      <w:r w:rsidRPr="0074502B">
        <w:rPr>
          <w:b/>
          <w:noProof/>
        </w:rPr>
        <w:t xml:space="preserve">Bouckaert, R., Heled, J., Kühnert, D., Vaughan, T., Wu, C.-H., Xie, D., Suchard, M.A., Rambaut, A., and Drummond, A.J. </w:t>
      </w:r>
      <w:r w:rsidRPr="0074502B">
        <w:rPr>
          <w:noProof/>
        </w:rPr>
        <w:t xml:space="preserve">(2014). BEAST 2: A software platform for bayesian evolutionary analysis. PLoS Comp. Biol. </w:t>
      </w:r>
      <w:r w:rsidRPr="0074502B">
        <w:rPr>
          <w:b/>
          <w:noProof/>
        </w:rPr>
        <w:t xml:space="preserve">10: </w:t>
      </w:r>
      <w:r w:rsidRPr="0074502B">
        <w:rPr>
          <w:noProof/>
        </w:rPr>
        <w:t>e1003537.</w:t>
      </w:r>
      <w:bookmarkEnd w:id="8"/>
    </w:p>
    <w:p w:rsidR="00EA1186" w:rsidRPr="0074502B" w:rsidRDefault="00EA1186" w:rsidP="00EA1186">
      <w:pPr>
        <w:pStyle w:val="EndNoteBibliography"/>
        <w:spacing w:after="180" w:line="340" w:lineRule="exact"/>
        <w:ind w:left="720" w:hanging="720"/>
        <w:rPr>
          <w:noProof/>
        </w:rPr>
      </w:pPr>
      <w:bookmarkStart w:id="9" w:name="_ENREF_9"/>
      <w:r w:rsidRPr="0074502B">
        <w:rPr>
          <w:b/>
          <w:noProof/>
        </w:rPr>
        <w:lastRenderedPageBreak/>
        <w:t xml:space="preserve">Capella-Gutiérrez, S., Silla-Martínez, J.M., and Gabaldón, T. </w:t>
      </w:r>
      <w:r w:rsidRPr="0074502B">
        <w:rPr>
          <w:noProof/>
        </w:rPr>
        <w:t xml:space="preserve">(2009). trimAl: a tool for automated alignment trimming in large-scale phylogenetic analyses. Bioinformatics </w:t>
      </w:r>
      <w:r w:rsidRPr="0074502B">
        <w:rPr>
          <w:b/>
          <w:noProof/>
        </w:rPr>
        <w:t xml:space="preserve">25: </w:t>
      </w:r>
      <w:r w:rsidRPr="0074502B">
        <w:rPr>
          <w:noProof/>
        </w:rPr>
        <w:t>1972-1973.</w:t>
      </w:r>
      <w:bookmarkEnd w:id="9"/>
    </w:p>
    <w:p w:rsidR="00EA1186" w:rsidRPr="0074502B" w:rsidRDefault="00EA1186" w:rsidP="00EA1186">
      <w:pPr>
        <w:pStyle w:val="EndNoteBibliography"/>
        <w:spacing w:after="180" w:line="340" w:lineRule="exact"/>
        <w:ind w:left="720" w:hanging="720"/>
        <w:rPr>
          <w:noProof/>
        </w:rPr>
      </w:pPr>
      <w:bookmarkStart w:id="10" w:name="_ENREF_10"/>
      <w:r w:rsidRPr="0074502B">
        <w:rPr>
          <w:b/>
          <w:noProof/>
        </w:rPr>
        <w:t xml:space="preserve">Cariaga, K.A., Pruski, J.F., Oviedo, R., Anderberg, A.A., Lewis, C.E., and Franciscoortega, J. </w:t>
      </w:r>
      <w:r w:rsidRPr="0074502B">
        <w:rPr>
          <w:noProof/>
        </w:rPr>
        <w:t xml:space="preserve">(2008). Phylogeny and systematic position of </w:t>
      </w:r>
      <w:r w:rsidRPr="0074502B">
        <w:rPr>
          <w:i/>
          <w:noProof/>
        </w:rPr>
        <w:t>Feddea</w:t>
      </w:r>
      <w:r w:rsidRPr="0074502B">
        <w:rPr>
          <w:noProof/>
        </w:rPr>
        <w:t xml:space="preserve"> (Asteraceae: Feddeeae): a taxonomically enigmatic and critically endangered genus endemic to Cuba. Syst. Bot. </w:t>
      </w:r>
      <w:r w:rsidRPr="0074502B">
        <w:rPr>
          <w:b/>
          <w:noProof/>
        </w:rPr>
        <w:t xml:space="preserve">33: </w:t>
      </w:r>
      <w:r w:rsidRPr="0074502B">
        <w:rPr>
          <w:noProof/>
        </w:rPr>
        <w:t>193-202.</w:t>
      </w:r>
      <w:bookmarkEnd w:id="10"/>
    </w:p>
    <w:p w:rsidR="00EA1186" w:rsidRPr="0074502B" w:rsidRDefault="00EA1186" w:rsidP="00EA1186">
      <w:pPr>
        <w:pStyle w:val="EndNoteBibliography"/>
        <w:spacing w:after="180" w:line="340" w:lineRule="exact"/>
        <w:ind w:left="720" w:hanging="720"/>
        <w:rPr>
          <w:noProof/>
        </w:rPr>
      </w:pPr>
      <w:bookmarkStart w:id="11" w:name="_ENREF_11"/>
      <w:r w:rsidRPr="0074502B">
        <w:rPr>
          <w:b/>
          <w:noProof/>
        </w:rPr>
        <w:t xml:space="preserve">Drummond, A.J., Suchard, M.A., Xie, D., and Rambaut, A. </w:t>
      </w:r>
      <w:r w:rsidRPr="0074502B">
        <w:rPr>
          <w:noProof/>
        </w:rPr>
        <w:t xml:space="preserve">(2012). Bayesian phylogenetics with BEAUti and the BEAST 1.7. Mol. Biol. Evol. </w:t>
      </w:r>
      <w:r w:rsidRPr="0074502B">
        <w:rPr>
          <w:b/>
          <w:noProof/>
        </w:rPr>
        <w:t xml:space="preserve">29: </w:t>
      </w:r>
      <w:r w:rsidRPr="0074502B">
        <w:rPr>
          <w:noProof/>
        </w:rPr>
        <w:t>1969-1973.</w:t>
      </w:r>
      <w:bookmarkEnd w:id="11"/>
    </w:p>
    <w:p w:rsidR="00EA1186" w:rsidRPr="0074502B" w:rsidRDefault="00EA1186" w:rsidP="00EA1186">
      <w:pPr>
        <w:pStyle w:val="EndNoteBibliography"/>
        <w:spacing w:after="180" w:line="340" w:lineRule="exact"/>
        <w:ind w:left="720" w:hanging="720"/>
        <w:rPr>
          <w:noProof/>
        </w:rPr>
      </w:pPr>
      <w:bookmarkStart w:id="12" w:name="_ENREF_12"/>
      <w:r w:rsidRPr="0074502B">
        <w:rPr>
          <w:b/>
          <w:noProof/>
        </w:rPr>
        <w:t xml:space="preserve">Ebersberger, I., Strauss, S., and von Haeseler, A. </w:t>
      </w:r>
      <w:r w:rsidRPr="0074502B">
        <w:rPr>
          <w:noProof/>
        </w:rPr>
        <w:t xml:space="preserve">(2009). HaMStR: profile hidden markov model based search for orthologs in ESTs. BMC Evol. Biol. </w:t>
      </w:r>
      <w:r w:rsidRPr="0074502B">
        <w:rPr>
          <w:b/>
          <w:noProof/>
        </w:rPr>
        <w:t xml:space="preserve">9: </w:t>
      </w:r>
      <w:r w:rsidRPr="0074502B">
        <w:rPr>
          <w:noProof/>
        </w:rPr>
        <w:t>157-157.</w:t>
      </w:r>
      <w:bookmarkEnd w:id="12"/>
    </w:p>
    <w:p w:rsidR="00EA1186" w:rsidRPr="0074502B" w:rsidRDefault="00EA1186" w:rsidP="00EA1186">
      <w:pPr>
        <w:pStyle w:val="EndNoteBibliography"/>
        <w:spacing w:after="180" w:line="340" w:lineRule="exact"/>
        <w:ind w:left="720" w:hanging="720"/>
        <w:rPr>
          <w:noProof/>
        </w:rPr>
      </w:pPr>
      <w:bookmarkStart w:id="13" w:name="_ENREF_13"/>
      <w:r w:rsidRPr="0074502B">
        <w:rPr>
          <w:b/>
          <w:noProof/>
        </w:rPr>
        <w:t xml:space="preserve">Edgar, R.C. </w:t>
      </w:r>
      <w:r w:rsidRPr="0074502B">
        <w:rPr>
          <w:noProof/>
        </w:rPr>
        <w:t xml:space="preserve">(2004). MUSCLE: multiple sequence alignment with high accuracy and high throughput. Nucleic Acids Res. </w:t>
      </w:r>
      <w:r w:rsidRPr="0074502B">
        <w:rPr>
          <w:b/>
          <w:noProof/>
        </w:rPr>
        <w:t xml:space="preserve">32: </w:t>
      </w:r>
      <w:r w:rsidRPr="0074502B">
        <w:rPr>
          <w:noProof/>
        </w:rPr>
        <w:t>1792-1797.</w:t>
      </w:r>
      <w:bookmarkEnd w:id="13"/>
    </w:p>
    <w:p w:rsidR="00EA1186" w:rsidRPr="0074502B" w:rsidRDefault="00EA1186" w:rsidP="00EA1186">
      <w:pPr>
        <w:pStyle w:val="EndNoteBibliography"/>
        <w:spacing w:after="180" w:line="340" w:lineRule="exact"/>
        <w:ind w:left="720" w:hanging="720"/>
        <w:rPr>
          <w:noProof/>
        </w:rPr>
      </w:pPr>
      <w:bookmarkStart w:id="14" w:name="_ENREF_14"/>
      <w:r w:rsidRPr="0074502B">
        <w:rPr>
          <w:b/>
          <w:noProof/>
        </w:rPr>
        <w:t xml:space="preserve">Freire, S.E., Barboza, G.E., Cantero, J.J., and Espinar, L.A. </w:t>
      </w:r>
      <w:r w:rsidRPr="0074502B">
        <w:rPr>
          <w:noProof/>
        </w:rPr>
        <w:t xml:space="preserve">(2014). </w:t>
      </w:r>
      <w:r w:rsidRPr="0074502B">
        <w:rPr>
          <w:i/>
          <w:noProof/>
        </w:rPr>
        <w:t>Famatinanthus</w:t>
      </w:r>
      <w:r w:rsidRPr="0074502B">
        <w:rPr>
          <w:noProof/>
        </w:rPr>
        <w:t>, a new Andean genus segregated from</w:t>
      </w:r>
      <w:r w:rsidRPr="0074502B">
        <w:rPr>
          <w:i/>
          <w:noProof/>
        </w:rPr>
        <w:t xml:space="preserve"> Aphyllocladus </w:t>
      </w:r>
      <w:r w:rsidRPr="0074502B">
        <w:rPr>
          <w:noProof/>
        </w:rPr>
        <w:t xml:space="preserve">(Asteraceae). Syst. Bot. </w:t>
      </w:r>
      <w:r w:rsidRPr="0074502B">
        <w:rPr>
          <w:b/>
          <w:noProof/>
        </w:rPr>
        <w:t xml:space="preserve">39: </w:t>
      </w:r>
      <w:r w:rsidRPr="0074502B">
        <w:rPr>
          <w:noProof/>
        </w:rPr>
        <w:t>349-360.</w:t>
      </w:r>
      <w:bookmarkEnd w:id="14"/>
    </w:p>
    <w:p w:rsidR="00EA1186" w:rsidRPr="0074502B" w:rsidRDefault="00EA1186" w:rsidP="00EA1186">
      <w:pPr>
        <w:pStyle w:val="EndNoteBibliography"/>
        <w:spacing w:after="180" w:line="340" w:lineRule="exact"/>
        <w:ind w:left="720" w:hanging="720"/>
        <w:rPr>
          <w:rFonts w:hint="eastAsia"/>
          <w:noProof/>
        </w:rPr>
      </w:pPr>
      <w:bookmarkStart w:id="15" w:name="_ENREF_15"/>
      <w:r w:rsidRPr="0074502B">
        <w:rPr>
          <w:b/>
          <w:noProof/>
        </w:rPr>
        <w:t>Fu, Z.X., Jiao, B.H., Nie, B., Zhang</w:t>
      </w:r>
      <w:r w:rsidRPr="0074502B">
        <w:rPr>
          <w:rFonts w:hint="eastAsia"/>
          <w:b/>
          <w:noProof/>
        </w:rPr>
        <w:t xml:space="preserve">, G.J., and Gao, T.G. </w:t>
      </w:r>
      <w:r w:rsidRPr="0074502B">
        <w:rPr>
          <w:rFonts w:hint="eastAsia"/>
          <w:noProof/>
        </w:rPr>
        <w:t>(2016). A comprehensive generic</w:t>
      </w:r>
      <w:r w:rsidRPr="0074502B">
        <w:rPr>
          <w:rFonts w:hint="eastAsia"/>
          <w:noProof/>
        </w:rPr>
        <w:t>‐</w:t>
      </w:r>
      <w:r w:rsidRPr="0074502B">
        <w:rPr>
          <w:rFonts w:hint="eastAsia"/>
          <w:noProof/>
        </w:rPr>
        <w:t xml:space="preserve">level phylogeny of the sunflower family: Implications for the systematics of Chinese Asteraceae. J Syst Evol </w:t>
      </w:r>
      <w:r w:rsidRPr="0074502B">
        <w:rPr>
          <w:rFonts w:hint="eastAsia"/>
          <w:b/>
          <w:noProof/>
        </w:rPr>
        <w:t xml:space="preserve">54: </w:t>
      </w:r>
      <w:r w:rsidRPr="0074502B">
        <w:rPr>
          <w:rFonts w:hint="eastAsia"/>
          <w:noProof/>
        </w:rPr>
        <w:t>416-437.</w:t>
      </w:r>
      <w:bookmarkEnd w:id="15"/>
    </w:p>
    <w:p w:rsidR="00EA1186" w:rsidRPr="0074502B" w:rsidRDefault="00EA1186" w:rsidP="00EA1186">
      <w:pPr>
        <w:pStyle w:val="EndNoteBibliography"/>
        <w:spacing w:after="180" w:line="340" w:lineRule="exact"/>
        <w:ind w:left="720" w:hanging="720"/>
        <w:rPr>
          <w:noProof/>
        </w:rPr>
      </w:pPr>
      <w:bookmarkStart w:id="16" w:name="_ENREF_16"/>
      <w:r w:rsidRPr="0074502B">
        <w:rPr>
          <w:b/>
          <w:noProof/>
        </w:rPr>
        <w:t>Funk, V.A., Anderberg, A.A., Baldwin, B.G., Bayer, R.J., Bonifacino, J.M., Breitwieser, I., Brouillet, L., Carbajal, R., Chan, R., Coutinho, A.X.P., Crawford, D.J., Crisci, J.V., Dillon, M.O., Freire, S.E., Galbany-Casals, M., Garcia-Jacas, N., Gemeinholzer, B., Gruenstaeudl, M., Hansen, H.V., Himmelreich, S., Kaderei, J.W., Källersjö, M., Karaman-Castro, V., Karis, P.O., Katinas, L., Keeley, S.C., Kilian, N., Kimball, R.T., Lowrey, T.K., Lundberg, J., McKenzie, R.J., Tadesse, M.n., Mort, M.E., Nordenstam, B., Oberprieler, C., Santiago Ortiz, Pelser, P.B., Randle, C.P., Robinson, H., Roque, N., Sancho, G., Semple, J.C., Serrano, M., Stuessy, T.F., Susanna, A., Matthew Unwin, Urbatsch, L., Urtubey, E., Vallès, J., Vogt, R., Wagstaff, S., Ward, J., and Watson, L.E.</w:t>
      </w:r>
      <w:r w:rsidRPr="0074502B">
        <w:rPr>
          <w:noProof/>
        </w:rPr>
        <w:t xml:space="preserve"> (2009a).  Compositae metatrees: the next generation. In: Systematics, Evolution and Biogeography of the Compositae--Funk, V.A., Susana, A., Stuessy, T.F., and Bayer, R.J., eds. Vienna: International Association for Plant Taxonomy. 747-777.</w:t>
      </w:r>
      <w:bookmarkEnd w:id="16"/>
    </w:p>
    <w:p w:rsidR="00EA1186" w:rsidRPr="0074502B" w:rsidRDefault="00EA1186" w:rsidP="00EA1186">
      <w:pPr>
        <w:pStyle w:val="EndNoteBibliography"/>
        <w:spacing w:after="180" w:line="340" w:lineRule="exact"/>
        <w:ind w:left="720" w:hanging="720"/>
        <w:rPr>
          <w:noProof/>
        </w:rPr>
      </w:pPr>
      <w:bookmarkStart w:id="17" w:name="_ENREF_17"/>
      <w:r w:rsidRPr="0074502B">
        <w:rPr>
          <w:b/>
          <w:noProof/>
        </w:rPr>
        <w:lastRenderedPageBreak/>
        <w:t xml:space="preserve">Funk, V.A., Sancho, G., Roque, N., Kelloff, C.L., Ventosa-Rodríguez, I., Diazgranados, M., Bonifacino, J.M., and Chan, R. </w:t>
      </w:r>
      <w:r w:rsidRPr="0074502B">
        <w:rPr>
          <w:noProof/>
        </w:rPr>
        <w:t xml:space="preserve">(2014). A phylogeny of the Gochnatieae: Understanding a critically placed tribe in the Compositae. Taxon </w:t>
      </w:r>
      <w:r w:rsidRPr="0074502B">
        <w:rPr>
          <w:b/>
          <w:noProof/>
        </w:rPr>
        <w:t xml:space="preserve">63: </w:t>
      </w:r>
      <w:r w:rsidRPr="0074502B">
        <w:rPr>
          <w:noProof/>
        </w:rPr>
        <w:t>859-882.</w:t>
      </w:r>
      <w:bookmarkEnd w:id="17"/>
    </w:p>
    <w:p w:rsidR="00EA1186" w:rsidRPr="0074502B" w:rsidRDefault="00EA1186" w:rsidP="00EA1186">
      <w:pPr>
        <w:pStyle w:val="EndNoteBibliography"/>
        <w:spacing w:after="180" w:line="340" w:lineRule="exact"/>
        <w:ind w:left="720" w:hanging="720"/>
        <w:rPr>
          <w:noProof/>
        </w:rPr>
      </w:pPr>
      <w:bookmarkStart w:id="18" w:name="_ENREF_18"/>
      <w:r w:rsidRPr="0074502B">
        <w:rPr>
          <w:b/>
          <w:noProof/>
        </w:rPr>
        <w:t>Funk, V.A., Susanna, A., Stuessy, T.F., and Robinson, H.</w:t>
      </w:r>
      <w:r w:rsidRPr="0074502B">
        <w:rPr>
          <w:noProof/>
        </w:rPr>
        <w:t xml:space="preserve"> (2009b).  Classification of </w:t>
      </w:r>
      <w:r w:rsidRPr="0074502B">
        <w:rPr>
          <w:i/>
          <w:noProof/>
        </w:rPr>
        <w:t>Compositae</w:t>
      </w:r>
      <w:r w:rsidRPr="0074502B">
        <w:rPr>
          <w:noProof/>
        </w:rPr>
        <w:t xml:space="preserve">. In: Systematics, Evolution, and Biogeography of </w:t>
      </w:r>
      <w:r w:rsidRPr="0074502B">
        <w:rPr>
          <w:i/>
          <w:noProof/>
        </w:rPr>
        <w:t>Compositae</w:t>
      </w:r>
      <w:r w:rsidRPr="0074502B">
        <w:rPr>
          <w:noProof/>
        </w:rPr>
        <w:t>--Funk, V.A., Susana, A., Stuessy, T.F., and Bayer, R.J., eds. Vienna: International Association for Plant Taxonomy. 171-189.</w:t>
      </w:r>
      <w:bookmarkEnd w:id="18"/>
    </w:p>
    <w:p w:rsidR="00EA1186" w:rsidRPr="0074502B" w:rsidRDefault="00EA1186" w:rsidP="00EA1186">
      <w:pPr>
        <w:pStyle w:val="EndNoteBibliography"/>
        <w:spacing w:after="180" w:line="340" w:lineRule="exact"/>
        <w:ind w:left="720" w:hanging="720"/>
        <w:rPr>
          <w:noProof/>
        </w:rPr>
      </w:pPr>
      <w:bookmarkStart w:id="19" w:name="_ENREF_19"/>
      <w:r w:rsidRPr="0074502B">
        <w:rPr>
          <w:b/>
          <w:noProof/>
        </w:rPr>
        <w:t xml:space="preserve">Grabherr, M.G., Haas, B.J., Yassour, M., Levin, J.Z., Thompson, D.A., Amit, I., Adiconis, X., Fan, L., Raychowdhury, R., Zeng, Q., Chen, Z., Mauceli, E., Hacohen, N., Gnirke, A., Rhind, N., di Palma, F., Birren, B.W., Nusbaum, C., Lindblad-Toh, K., Friedman, N., and Regev, A. </w:t>
      </w:r>
      <w:r w:rsidRPr="0074502B">
        <w:rPr>
          <w:noProof/>
        </w:rPr>
        <w:t xml:space="preserve">(2011). Full-length transcriptome assembly from RNA-Seq data without a reference genome. Nat. Biotechnol. </w:t>
      </w:r>
      <w:r w:rsidRPr="0074502B">
        <w:rPr>
          <w:b/>
          <w:noProof/>
        </w:rPr>
        <w:t xml:space="preserve">29: </w:t>
      </w:r>
      <w:r w:rsidRPr="0074502B">
        <w:rPr>
          <w:noProof/>
        </w:rPr>
        <w:t>644-652.</w:t>
      </w:r>
      <w:bookmarkEnd w:id="19"/>
    </w:p>
    <w:p w:rsidR="00EA1186" w:rsidRPr="0074502B" w:rsidRDefault="00EA1186" w:rsidP="00EA1186">
      <w:pPr>
        <w:pStyle w:val="EndNoteBibliography"/>
        <w:spacing w:after="180" w:line="340" w:lineRule="exact"/>
        <w:ind w:left="720" w:hanging="720"/>
        <w:rPr>
          <w:noProof/>
        </w:rPr>
      </w:pPr>
      <w:bookmarkStart w:id="20" w:name="_ENREF_20"/>
      <w:r w:rsidRPr="0074502B">
        <w:rPr>
          <w:b/>
          <w:noProof/>
        </w:rPr>
        <w:t xml:space="preserve">Harmon, L.J., Weir, J.T., Brock, C.D., Glor, R.E., and Challenger, W. </w:t>
      </w:r>
      <w:r w:rsidRPr="0074502B">
        <w:rPr>
          <w:noProof/>
        </w:rPr>
        <w:t xml:space="preserve">(2008). GEIGER: investigating evolutionary radiations. Bioinformatics </w:t>
      </w:r>
      <w:r w:rsidRPr="0074502B">
        <w:rPr>
          <w:b/>
          <w:noProof/>
        </w:rPr>
        <w:t xml:space="preserve">24: </w:t>
      </w:r>
      <w:r w:rsidRPr="0074502B">
        <w:rPr>
          <w:noProof/>
        </w:rPr>
        <w:t>129-131.</w:t>
      </w:r>
      <w:bookmarkEnd w:id="20"/>
    </w:p>
    <w:p w:rsidR="00EA1186" w:rsidRPr="0074502B" w:rsidRDefault="00EA1186" w:rsidP="00EA1186">
      <w:pPr>
        <w:pStyle w:val="EndNoteBibliography"/>
        <w:spacing w:after="180" w:line="340" w:lineRule="exact"/>
        <w:ind w:left="720" w:hanging="720"/>
        <w:rPr>
          <w:noProof/>
        </w:rPr>
      </w:pPr>
      <w:bookmarkStart w:id="21" w:name="_ENREF_21"/>
      <w:r w:rsidRPr="0074502B">
        <w:rPr>
          <w:b/>
          <w:noProof/>
        </w:rPr>
        <w:t xml:space="preserve">Huang, C.H., Sun, R.R., Hu, Y., Zeng, L.P., Zhang, N., Cai, L.M., Zhang, Q., Koch, M.A., Al-Shehbaz, I., Edger, P.P., Pires, J.C., Tan, D.Y., Zhong, Y., and Ma, H. </w:t>
      </w:r>
      <w:r w:rsidRPr="0074502B">
        <w:rPr>
          <w:noProof/>
        </w:rPr>
        <w:t xml:space="preserve">(2016a). Resolution of Brassicaceae phylogeny using nuclear genes uncovers nested radiations and supports convergent morphological evolution. Mol. Biol. Evol. </w:t>
      </w:r>
      <w:r w:rsidRPr="0074502B">
        <w:rPr>
          <w:b/>
          <w:noProof/>
        </w:rPr>
        <w:t xml:space="preserve">33: </w:t>
      </w:r>
      <w:r w:rsidRPr="0074502B">
        <w:rPr>
          <w:noProof/>
        </w:rPr>
        <w:t>394-412.</w:t>
      </w:r>
      <w:bookmarkEnd w:id="21"/>
    </w:p>
    <w:p w:rsidR="00EA1186" w:rsidRPr="0074502B" w:rsidRDefault="00EA1186" w:rsidP="00EA1186">
      <w:pPr>
        <w:pStyle w:val="EndNoteBibliography"/>
        <w:spacing w:after="180" w:line="340" w:lineRule="exact"/>
        <w:ind w:left="720" w:hanging="720"/>
        <w:rPr>
          <w:noProof/>
        </w:rPr>
      </w:pPr>
      <w:bookmarkStart w:id="22" w:name="_ENREF_22"/>
      <w:r w:rsidRPr="0074502B">
        <w:rPr>
          <w:b/>
          <w:noProof/>
        </w:rPr>
        <w:t xml:space="preserve">Huang, C.H., Zhang, C.F., Liu, M., Hu, Y., Gao, T.G., Qi, J., and Ma, H. </w:t>
      </w:r>
      <w:r w:rsidRPr="0074502B">
        <w:rPr>
          <w:noProof/>
        </w:rPr>
        <w:t xml:space="preserve">(2016b). Multiple polyploidization events across Asteraceae with two nested events in the early history revealed by nuclear phylogenomics. Mol. Biol. Evol. </w:t>
      </w:r>
      <w:r w:rsidRPr="0074502B">
        <w:rPr>
          <w:b/>
          <w:noProof/>
        </w:rPr>
        <w:t xml:space="preserve">33: </w:t>
      </w:r>
      <w:r w:rsidRPr="0074502B">
        <w:rPr>
          <w:noProof/>
        </w:rPr>
        <w:t>2820-2835.</w:t>
      </w:r>
      <w:bookmarkEnd w:id="22"/>
    </w:p>
    <w:p w:rsidR="00EA1186" w:rsidRPr="0074502B" w:rsidRDefault="00EA1186" w:rsidP="00EA1186">
      <w:pPr>
        <w:pStyle w:val="EndNoteBibliography"/>
        <w:spacing w:after="180" w:line="340" w:lineRule="exact"/>
        <w:ind w:left="720" w:hanging="720"/>
        <w:rPr>
          <w:noProof/>
        </w:rPr>
      </w:pPr>
      <w:bookmarkStart w:id="23" w:name="_ENREF_23"/>
      <w:r w:rsidRPr="0074502B">
        <w:rPr>
          <w:b/>
          <w:noProof/>
        </w:rPr>
        <w:t xml:space="preserve">Huerta-Cepas, J., Serra, F., and Bork, P. </w:t>
      </w:r>
      <w:r w:rsidRPr="0074502B">
        <w:rPr>
          <w:noProof/>
        </w:rPr>
        <w:t xml:space="preserve">(2016). ETE 3: reconstruction, analysis, and visualization of phylogenomic data. Mol. Biol. Evol. </w:t>
      </w:r>
      <w:r w:rsidRPr="0074502B">
        <w:rPr>
          <w:b/>
          <w:noProof/>
        </w:rPr>
        <w:t xml:space="preserve">33: </w:t>
      </w:r>
      <w:r w:rsidRPr="0074502B">
        <w:rPr>
          <w:noProof/>
        </w:rPr>
        <w:t>1635-1638.</w:t>
      </w:r>
      <w:bookmarkEnd w:id="23"/>
    </w:p>
    <w:p w:rsidR="00EA1186" w:rsidRPr="0074502B" w:rsidRDefault="00EA1186" w:rsidP="00EA1186">
      <w:pPr>
        <w:pStyle w:val="EndNoteBibliography"/>
        <w:spacing w:after="180" w:line="340" w:lineRule="exact"/>
        <w:ind w:left="720" w:hanging="720"/>
        <w:rPr>
          <w:noProof/>
        </w:rPr>
      </w:pPr>
      <w:bookmarkStart w:id="24" w:name="_ENREF_24"/>
      <w:r w:rsidRPr="0074502B">
        <w:rPr>
          <w:b/>
          <w:noProof/>
        </w:rPr>
        <w:t xml:space="preserve">Katinas, L., Pruski, J.F., Sancho, G., and Tellería, M.C. </w:t>
      </w:r>
      <w:r w:rsidRPr="0074502B">
        <w:rPr>
          <w:noProof/>
        </w:rPr>
        <w:t xml:space="preserve">(2008). The subfamily Mutisioideae (Asteraceae). Bot. Rev. </w:t>
      </w:r>
      <w:r w:rsidRPr="0074502B">
        <w:rPr>
          <w:b/>
          <w:noProof/>
        </w:rPr>
        <w:t xml:space="preserve">74: </w:t>
      </w:r>
      <w:r w:rsidRPr="0074502B">
        <w:rPr>
          <w:noProof/>
        </w:rPr>
        <w:t>469-716.</w:t>
      </w:r>
      <w:bookmarkEnd w:id="24"/>
    </w:p>
    <w:p w:rsidR="00EA1186" w:rsidRPr="0074502B" w:rsidRDefault="00EA1186" w:rsidP="00EA1186">
      <w:pPr>
        <w:pStyle w:val="EndNoteBibliography"/>
        <w:spacing w:after="180" w:line="340" w:lineRule="exact"/>
        <w:ind w:left="720" w:hanging="720"/>
        <w:rPr>
          <w:noProof/>
        </w:rPr>
      </w:pPr>
      <w:bookmarkStart w:id="25" w:name="_ENREF_25"/>
      <w:r w:rsidRPr="0074502B">
        <w:rPr>
          <w:b/>
          <w:noProof/>
        </w:rPr>
        <w:t xml:space="preserve">Li, L., Stoeckert, C.J., and Roos, D.S. </w:t>
      </w:r>
      <w:r w:rsidRPr="0074502B">
        <w:rPr>
          <w:noProof/>
        </w:rPr>
        <w:t xml:space="preserve">(2003). OrthoMCL: identification of ortholog groups for eukaryotic genomes. Genome Res. </w:t>
      </w:r>
      <w:r w:rsidRPr="0074502B">
        <w:rPr>
          <w:b/>
          <w:noProof/>
        </w:rPr>
        <w:t xml:space="preserve">13: </w:t>
      </w:r>
      <w:r w:rsidRPr="0074502B">
        <w:rPr>
          <w:noProof/>
        </w:rPr>
        <w:t>2178-2189.</w:t>
      </w:r>
      <w:bookmarkEnd w:id="25"/>
    </w:p>
    <w:p w:rsidR="00EA1186" w:rsidRPr="0074502B" w:rsidRDefault="00EA1186" w:rsidP="00EA1186">
      <w:pPr>
        <w:pStyle w:val="EndNoteBibliography"/>
        <w:spacing w:after="180" w:line="340" w:lineRule="exact"/>
        <w:ind w:left="720" w:hanging="720"/>
        <w:rPr>
          <w:noProof/>
        </w:rPr>
      </w:pPr>
      <w:bookmarkStart w:id="26" w:name="_ENREF_26"/>
      <w:r w:rsidRPr="0074502B">
        <w:rPr>
          <w:b/>
          <w:noProof/>
        </w:rPr>
        <w:t xml:space="preserve">Li, W., and Godzik, A. </w:t>
      </w:r>
      <w:r w:rsidRPr="0074502B">
        <w:rPr>
          <w:noProof/>
        </w:rPr>
        <w:t xml:space="preserve">(2006). Cd-hit: a fast program for clustering and comparing large sets of protein or nucleotide sequences. Bioinformatics </w:t>
      </w:r>
      <w:r w:rsidRPr="0074502B">
        <w:rPr>
          <w:b/>
          <w:noProof/>
        </w:rPr>
        <w:t xml:space="preserve">22: </w:t>
      </w:r>
      <w:r w:rsidRPr="0074502B">
        <w:rPr>
          <w:noProof/>
        </w:rPr>
        <w:t>1658-1659.</w:t>
      </w:r>
      <w:bookmarkEnd w:id="26"/>
    </w:p>
    <w:p w:rsidR="00EA1186" w:rsidRPr="0074502B" w:rsidRDefault="00EA1186" w:rsidP="00EA1186">
      <w:pPr>
        <w:pStyle w:val="EndNoteBibliography"/>
        <w:spacing w:after="180" w:line="340" w:lineRule="exact"/>
        <w:ind w:left="720" w:hanging="720"/>
        <w:rPr>
          <w:noProof/>
        </w:rPr>
      </w:pPr>
      <w:bookmarkStart w:id="27" w:name="_ENREF_27"/>
      <w:r w:rsidRPr="0074502B">
        <w:rPr>
          <w:b/>
          <w:noProof/>
        </w:rPr>
        <w:lastRenderedPageBreak/>
        <w:t xml:space="preserve">Liu, M., Zhang, C.F., Huang, C.H., and Ma, H. </w:t>
      </w:r>
      <w:r w:rsidRPr="0074502B">
        <w:rPr>
          <w:noProof/>
        </w:rPr>
        <w:t xml:space="preserve">(2015). Phylogenetic reconstruction of tribal relationships in Asteroideae (Asteraceae) with low-copy nuclear genes. Chin Bull Bot </w:t>
      </w:r>
      <w:r w:rsidRPr="0074502B">
        <w:rPr>
          <w:b/>
          <w:noProof/>
        </w:rPr>
        <w:t xml:space="preserve">50: </w:t>
      </w:r>
      <w:r w:rsidRPr="0074502B">
        <w:rPr>
          <w:noProof/>
        </w:rPr>
        <w:t>549–564.</w:t>
      </w:r>
      <w:bookmarkEnd w:id="27"/>
    </w:p>
    <w:p w:rsidR="00EA1186" w:rsidRPr="0074502B" w:rsidRDefault="00EA1186" w:rsidP="00EA1186">
      <w:pPr>
        <w:pStyle w:val="EndNoteBibliography"/>
        <w:spacing w:after="180" w:line="340" w:lineRule="exact"/>
        <w:ind w:left="720" w:hanging="720"/>
        <w:rPr>
          <w:noProof/>
        </w:rPr>
      </w:pPr>
      <w:bookmarkStart w:id="28" w:name="_ENREF_28"/>
      <w:r w:rsidRPr="0074502B">
        <w:rPr>
          <w:b/>
          <w:noProof/>
        </w:rPr>
        <w:t xml:space="preserve">Luo, R., Liu, B., Xie, Y., Li, Z., Huang, W., Yuan, J., He, G., Chen, Y., Pan, Q., Liu, Y., Tang, J., Wu, G., Zhang, H., Shi, Y., Liu, Y., Yu, C., Wang, B., Lu, Y., Han, C., Cheung, D.W., Yiu, S.M., Peng, S., Xiaoqian, Z., Liu, G., Liao, X., Li, Y., Yang, H., Wang, J., Lam, T.W., and Wang, J. </w:t>
      </w:r>
      <w:r w:rsidRPr="0074502B">
        <w:rPr>
          <w:noProof/>
        </w:rPr>
        <w:t xml:space="preserve">(2012). SOAPdenovo2: an empirically improved memory-efficient short-read de novo assembler. GigaScience </w:t>
      </w:r>
      <w:r w:rsidRPr="0074502B">
        <w:rPr>
          <w:b/>
          <w:noProof/>
        </w:rPr>
        <w:t xml:space="preserve">1: </w:t>
      </w:r>
      <w:r w:rsidRPr="0074502B">
        <w:rPr>
          <w:noProof/>
        </w:rPr>
        <w:t>18.</w:t>
      </w:r>
      <w:bookmarkEnd w:id="28"/>
    </w:p>
    <w:p w:rsidR="00EA1186" w:rsidRPr="0074502B" w:rsidRDefault="00EA1186" w:rsidP="00EA1186">
      <w:pPr>
        <w:pStyle w:val="EndNoteBibliography"/>
        <w:spacing w:after="180" w:line="340" w:lineRule="exact"/>
        <w:ind w:left="720" w:hanging="720"/>
        <w:rPr>
          <w:noProof/>
        </w:rPr>
      </w:pPr>
      <w:bookmarkStart w:id="29" w:name="_ENREF_29"/>
      <w:r w:rsidRPr="0074502B">
        <w:rPr>
          <w:b/>
          <w:noProof/>
        </w:rPr>
        <w:t xml:space="preserve">Magallón, S., Gómez-Acevedo, S., Sánchez-Reyes, L.L., and Hernández-Hernández, T. </w:t>
      </w:r>
      <w:r w:rsidRPr="0074502B">
        <w:rPr>
          <w:noProof/>
        </w:rPr>
        <w:t xml:space="preserve">(2015). A metacalibrated time-tree documents the early rise of flowering plant phylogenetic diversity. New Phytol. </w:t>
      </w:r>
      <w:r w:rsidRPr="0074502B">
        <w:rPr>
          <w:b/>
          <w:noProof/>
        </w:rPr>
        <w:t xml:space="preserve">207: </w:t>
      </w:r>
      <w:r w:rsidRPr="0074502B">
        <w:rPr>
          <w:noProof/>
        </w:rPr>
        <w:t>437-453.</w:t>
      </w:r>
      <w:bookmarkEnd w:id="29"/>
    </w:p>
    <w:p w:rsidR="00EA1186" w:rsidRPr="0074502B" w:rsidRDefault="00EA1186" w:rsidP="00EA1186">
      <w:pPr>
        <w:pStyle w:val="EndNoteBibliography"/>
        <w:spacing w:after="180" w:line="340" w:lineRule="exact"/>
        <w:ind w:left="720" w:hanging="720"/>
        <w:rPr>
          <w:noProof/>
        </w:rPr>
      </w:pPr>
      <w:bookmarkStart w:id="30" w:name="_ENREF_30"/>
      <w:r w:rsidRPr="0074502B">
        <w:rPr>
          <w:b/>
          <w:noProof/>
        </w:rPr>
        <w:t xml:space="preserve">Mirarab, S., Reaz, R., Bayzid, M.S., Zimmermann, T., Swenson, M.S., and Warnow, T. </w:t>
      </w:r>
      <w:r w:rsidRPr="0074502B">
        <w:rPr>
          <w:noProof/>
        </w:rPr>
        <w:t xml:space="preserve">(2014). ASTRAL: genome-scale coalescent-based species tree estimation. Bioinformatics </w:t>
      </w:r>
      <w:r w:rsidRPr="0074502B">
        <w:rPr>
          <w:b/>
          <w:noProof/>
        </w:rPr>
        <w:t xml:space="preserve">30: </w:t>
      </w:r>
      <w:r w:rsidRPr="0074502B">
        <w:rPr>
          <w:noProof/>
        </w:rPr>
        <w:t>i541-i548.</w:t>
      </w:r>
      <w:bookmarkEnd w:id="30"/>
    </w:p>
    <w:p w:rsidR="00EA1186" w:rsidRPr="0074502B" w:rsidRDefault="00EA1186" w:rsidP="00EA1186">
      <w:pPr>
        <w:pStyle w:val="EndNoteBibliography"/>
        <w:spacing w:after="180" w:line="340" w:lineRule="exact"/>
        <w:ind w:left="720" w:hanging="720"/>
        <w:rPr>
          <w:noProof/>
        </w:rPr>
      </w:pPr>
      <w:bookmarkStart w:id="31" w:name="_ENREF_31"/>
      <w:r w:rsidRPr="0074502B">
        <w:rPr>
          <w:b/>
          <w:noProof/>
        </w:rPr>
        <w:t xml:space="preserve">Nie, Z.L., Funk, V.A., Meng, Y., Deng, T., Sun, H., and Wen, J. </w:t>
      </w:r>
      <w:r w:rsidRPr="0074502B">
        <w:rPr>
          <w:noProof/>
        </w:rPr>
        <w:t xml:space="preserve">(2016). Recent assembly of the global herbaceous flora: evidence from the paper daisies (Asteraceae: Gnaphalieae). New Phytol. </w:t>
      </w:r>
      <w:r w:rsidRPr="0074502B">
        <w:rPr>
          <w:b/>
          <w:noProof/>
        </w:rPr>
        <w:t xml:space="preserve">209: </w:t>
      </w:r>
      <w:r w:rsidRPr="0074502B">
        <w:rPr>
          <w:noProof/>
        </w:rPr>
        <w:t>1795-1806.</w:t>
      </w:r>
      <w:bookmarkEnd w:id="31"/>
    </w:p>
    <w:p w:rsidR="00EA1186" w:rsidRPr="0074502B" w:rsidRDefault="00EA1186" w:rsidP="00EA1186">
      <w:pPr>
        <w:pStyle w:val="EndNoteBibliography"/>
        <w:spacing w:after="180" w:line="340" w:lineRule="exact"/>
        <w:ind w:left="720" w:hanging="720"/>
        <w:rPr>
          <w:noProof/>
        </w:rPr>
      </w:pPr>
      <w:bookmarkStart w:id="32" w:name="_ENREF_32"/>
      <w:r w:rsidRPr="0074502B">
        <w:rPr>
          <w:b/>
          <w:noProof/>
        </w:rPr>
        <w:t>Nordenstam, B., Pelser, P.B., Kadereit, J.W., and Watson, L.E.</w:t>
      </w:r>
      <w:r w:rsidRPr="0074502B">
        <w:rPr>
          <w:noProof/>
        </w:rPr>
        <w:t xml:space="preserve"> (2009).  Senecioneae. In: Systematics, Evolution and Biogeography of the Compositae--Funk, V.A., Susana, A., Stuessy, T.F., and Bayer, R.J., eds. Vienna: International Association for Plant Taxonomy. 503-525.</w:t>
      </w:r>
      <w:bookmarkEnd w:id="32"/>
    </w:p>
    <w:p w:rsidR="00EA1186" w:rsidRPr="0074502B" w:rsidRDefault="00EA1186" w:rsidP="00EA1186">
      <w:pPr>
        <w:pStyle w:val="EndNoteBibliography"/>
        <w:spacing w:after="180" w:line="340" w:lineRule="exact"/>
        <w:ind w:left="720" w:hanging="720"/>
        <w:rPr>
          <w:noProof/>
        </w:rPr>
      </w:pPr>
      <w:bookmarkStart w:id="33" w:name="_ENREF_33"/>
      <w:r w:rsidRPr="0074502B">
        <w:rPr>
          <w:b/>
          <w:noProof/>
        </w:rPr>
        <w:t xml:space="preserve">Panero, J.L. </w:t>
      </w:r>
      <w:r w:rsidRPr="0074502B">
        <w:rPr>
          <w:noProof/>
        </w:rPr>
        <w:t xml:space="preserve">(2016). Phylogenetic uncertainty and fossil calibration of Asteraceae chronograms. Proc. Natl. Acad. Sci. USA </w:t>
      </w:r>
      <w:r w:rsidRPr="0074502B">
        <w:rPr>
          <w:b/>
          <w:noProof/>
        </w:rPr>
        <w:t xml:space="preserve">113: </w:t>
      </w:r>
      <w:r w:rsidRPr="0074502B">
        <w:rPr>
          <w:noProof/>
        </w:rPr>
        <w:t>E411.</w:t>
      </w:r>
      <w:bookmarkEnd w:id="33"/>
    </w:p>
    <w:p w:rsidR="00EA1186" w:rsidRPr="0074502B" w:rsidRDefault="00EA1186" w:rsidP="00EA1186">
      <w:pPr>
        <w:pStyle w:val="EndNoteBibliography"/>
        <w:spacing w:after="180" w:line="340" w:lineRule="exact"/>
        <w:ind w:left="720" w:hanging="720"/>
        <w:rPr>
          <w:noProof/>
        </w:rPr>
      </w:pPr>
      <w:bookmarkStart w:id="34" w:name="_ENREF_34"/>
      <w:r w:rsidRPr="0074502B">
        <w:rPr>
          <w:b/>
          <w:noProof/>
        </w:rPr>
        <w:t xml:space="preserve">Panero, J.L., and Crozier, B.S. </w:t>
      </w:r>
      <w:r w:rsidRPr="0074502B">
        <w:rPr>
          <w:noProof/>
        </w:rPr>
        <w:t xml:space="preserve">(2016). Macroevolutionary dynamics in the early diversification of Asteraceae. Mol. Phylogen. Evol. </w:t>
      </w:r>
      <w:r w:rsidRPr="0074502B">
        <w:rPr>
          <w:b/>
          <w:noProof/>
        </w:rPr>
        <w:t xml:space="preserve">99: </w:t>
      </w:r>
      <w:r w:rsidRPr="0074502B">
        <w:rPr>
          <w:noProof/>
        </w:rPr>
        <w:t>116-132.</w:t>
      </w:r>
      <w:bookmarkEnd w:id="34"/>
    </w:p>
    <w:p w:rsidR="00EA1186" w:rsidRPr="0074502B" w:rsidRDefault="00EA1186" w:rsidP="00EA1186">
      <w:pPr>
        <w:pStyle w:val="EndNoteBibliography"/>
        <w:spacing w:after="180" w:line="340" w:lineRule="exact"/>
        <w:ind w:left="720" w:hanging="720"/>
        <w:rPr>
          <w:noProof/>
        </w:rPr>
      </w:pPr>
      <w:bookmarkStart w:id="35" w:name="_ENREF_35"/>
      <w:r w:rsidRPr="0074502B">
        <w:rPr>
          <w:b/>
          <w:noProof/>
        </w:rPr>
        <w:t xml:space="preserve">Panero, J.L., Freire, S.E., Ariza Espinar, L., Crozier, B.S., Barboza, G.E., and Cantero, J.J. </w:t>
      </w:r>
      <w:r w:rsidRPr="0074502B">
        <w:rPr>
          <w:noProof/>
        </w:rPr>
        <w:t xml:space="preserve">(2014). Resolution of deep nodes yields an improved backbone phylogeny and a new basal lineage to study early evolution of Asteraceae. Mol. Phylogen. Evol. </w:t>
      </w:r>
      <w:r w:rsidRPr="0074502B">
        <w:rPr>
          <w:b/>
          <w:noProof/>
        </w:rPr>
        <w:t xml:space="preserve">80: </w:t>
      </w:r>
      <w:r w:rsidRPr="0074502B">
        <w:rPr>
          <w:noProof/>
        </w:rPr>
        <w:t>43-53.</w:t>
      </w:r>
      <w:bookmarkEnd w:id="35"/>
    </w:p>
    <w:p w:rsidR="00EA1186" w:rsidRPr="0074502B" w:rsidRDefault="00EA1186" w:rsidP="00EA1186">
      <w:pPr>
        <w:pStyle w:val="EndNoteBibliography"/>
        <w:spacing w:after="180" w:line="340" w:lineRule="exact"/>
        <w:ind w:left="720" w:hanging="720"/>
        <w:rPr>
          <w:noProof/>
        </w:rPr>
      </w:pPr>
      <w:bookmarkStart w:id="36" w:name="_ENREF_36"/>
      <w:r w:rsidRPr="0074502B">
        <w:rPr>
          <w:b/>
          <w:noProof/>
        </w:rPr>
        <w:t xml:space="preserve">Panero, J.L., and Funk, V.A. </w:t>
      </w:r>
      <w:r w:rsidRPr="0074502B">
        <w:rPr>
          <w:noProof/>
        </w:rPr>
        <w:t xml:space="preserve">(2008). The value of sampling anomalous taxa in phylogenetic studies: Major clades of the Asteraceae revealed. Mol. Phylogen. Evol. </w:t>
      </w:r>
      <w:r w:rsidRPr="0074502B">
        <w:rPr>
          <w:b/>
          <w:noProof/>
        </w:rPr>
        <w:t xml:space="preserve">47: </w:t>
      </w:r>
      <w:r w:rsidRPr="0074502B">
        <w:rPr>
          <w:noProof/>
        </w:rPr>
        <w:t>757-782.</w:t>
      </w:r>
      <w:bookmarkEnd w:id="36"/>
    </w:p>
    <w:p w:rsidR="00EA1186" w:rsidRPr="0074502B" w:rsidRDefault="00EA1186" w:rsidP="00EA1186">
      <w:pPr>
        <w:pStyle w:val="EndNoteBibliography"/>
        <w:spacing w:after="180" w:line="340" w:lineRule="exact"/>
        <w:ind w:left="720" w:hanging="720"/>
        <w:rPr>
          <w:noProof/>
        </w:rPr>
      </w:pPr>
      <w:bookmarkStart w:id="37" w:name="_ENREF_37"/>
      <w:r w:rsidRPr="0074502B">
        <w:rPr>
          <w:b/>
          <w:noProof/>
        </w:rPr>
        <w:lastRenderedPageBreak/>
        <w:t xml:space="preserve">Pasini, E., Funk, V.A., Souza-Chies, T.T.d., and Miotto, S.T.S. </w:t>
      </w:r>
      <w:r w:rsidRPr="0074502B">
        <w:rPr>
          <w:noProof/>
        </w:rPr>
        <w:t>(2016). New insights into the phylogeny and biogeography of the</w:t>
      </w:r>
      <w:r w:rsidRPr="0074502B">
        <w:rPr>
          <w:i/>
          <w:noProof/>
        </w:rPr>
        <w:t xml:space="preserve"> Gerbera</w:t>
      </w:r>
      <w:r w:rsidRPr="0074502B">
        <w:rPr>
          <w:noProof/>
        </w:rPr>
        <w:t xml:space="preserve">-Complex (Asteraceae: Mutisieae). Taxon </w:t>
      </w:r>
      <w:r w:rsidRPr="0074502B">
        <w:rPr>
          <w:b/>
          <w:noProof/>
        </w:rPr>
        <w:t xml:space="preserve">65: </w:t>
      </w:r>
      <w:r w:rsidRPr="0074502B">
        <w:rPr>
          <w:noProof/>
        </w:rPr>
        <w:t>547-562.</w:t>
      </w:r>
      <w:bookmarkEnd w:id="37"/>
    </w:p>
    <w:p w:rsidR="00EA1186" w:rsidRPr="0074502B" w:rsidRDefault="00EA1186" w:rsidP="00EA1186">
      <w:pPr>
        <w:pStyle w:val="EndNoteBibliography"/>
        <w:spacing w:after="180" w:line="340" w:lineRule="exact"/>
        <w:ind w:left="720" w:hanging="720"/>
        <w:rPr>
          <w:noProof/>
        </w:rPr>
      </w:pPr>
      <w:bookmarkStart w:id="38" w:name="_ENREF_38"/>
      <w:r w:rsidRPr="0074502B">
        <w:rPr>
          <w:b/>
          <w:noProof/>
        </w:rPr>
        <w:t xml:space="preserve">Pelser, P.B., Kennedy, A.H., Tepe, E.J., Shidler, J.B., Nordenstam, B., Kadereit, J.W., and Watson, L.E. </w:t>
      </w:r>
      <w:r w:rsidRPr="0074502B">
        <w:rPr>
          <w:noProof/>
        </w:rPr>
        <w:t xml:space="preserve">(2010). Patterns and causes of incongruence between plastid and nuclear Senecioneae (Asteraceae) phylogenies. Am. J. Bot. </w:t>
      </w:r>
      <w:r w:rsidRPr="0074502B">
        <w:rPr>
          <w:b/>
          <w:noProof/>
        </w:rPr>
        <w:t xml:space="preserve">97: </w:t>
      </w:r>
      <w:r w:rsidRPr="0074502B">
        <w:rPr>
          <w:noProof/>
        </w:rPr>
        <w:t>856-873.</w:t>
      </w:r>
      <w:bookmarkEnd w:id="38"/>
    </w:p>
    <w:p w:rsidR="00EA1186" w:rsidRPr="0074502B" w:rsidRDefault="00EA1186" w:rsidP="00EA1186">
      <w:pPr>
        <w:pStyle w:val="EndNoteBibliography"/>
        <w:spacing w:after="180" w:line="340" w:lineRule="exact"/>
        <w:ind w:left="720" w:hanging="720"/>
        <w:rPr>
          <w:noProof/>
        </w:rPr>
      </w:pPr>
      <w:bookmarkStart w:id="39" w:name="_ENREF_39"/>
      <w:r w:rsidRPr="0074502B">
        <w:rPr>
          <w:b/>
          <w:noProof/>
        </w:rPr>
        <w:t xml:space="preserve">Plummer, M., Best, N., Cowles, K., and Vines, K. </w:t>
      </w:r>
      <w:r w:rsidRPr="0074502B">
        <w:rPr>
          <w:noProof/>
        </w:rPr>
        <w:t xml:space="preserve">(2006). CODA: convergence diagnosis and output analysis for MCMC. R News </w:t>
      </w:r>
      <w:r w:rsidRPr="0074502B">
        <w:rPr>
          <w:b/>
          <w:noProof/>
        </w:rPr>
        <w:t xml:space="preserve">6: </w:t>
      </w:r>
      <w:r w:rsidRPr="0074502B">
        <w:rPr>
          <w:noProof/>
        </w:rPr>
        <w:t>7-11.</w:t>
      </w:r>
      <w:bookmarkEnd w:id="39"/>
    </w:p>
    <w:p w:rsidR="00EA1186" w:rsidRPr="0074502B" w:rsidRDefault="00EA1186" w:rsidP="00EA1186">
      <w:pPr>
        <w:pStyle w:val="EndNoteBibliography"/>
        <w:spacing w:after="180" w:line="340" w:lineRule="exact"/>
        <w:ind w:left="720" w:hanging="720"/>
        <w:rPr>
          <w:noProof/>
        </w:rPr>
      </w:pPr>
      <w:bookmarkStart w:id="40" w:name="_ENREF_40"/>
      <w:r w:rsidRPr="0074502B">
        <w:rPr>
          <w:b/>
          <w:noProof/>
        </w:rPr>
        <w:t xml:space="preserve">Price, M.N., Dehal, P.S., and Arkin, A.P. </w:t>
      </w:r>
      <w:r w:rsidRPr="0074502B">
        <w:rPr>
          <w:noProof/>
        </w:rPr>
        <w:t xml:space="preserve">(2009). FastTree: computing large minimum evolution trees with profiles instead of a distance matrix. Mol. Biol. Evol. </w:t>
      </w:r>
      <w:r w:rsidRPr="0074502B">
        <w:rPr>
          <w:b/>
          <w:noProof/>
        </w:rPr>
        <w:t xml:space="preserve">26: </w:t>
      </w:r>
      <w:r w:rsidRPr="0074502B">
        <w:rPr>
          <w:noProof/>
        </w:rPr>
        <w:t>1641-1650.</w:t>
      </w:r>
      <w:bookmarkEnd w:id="40"/>
    </w:p>
    <w:p w:rsidR="00EA1186" w:rsidRPr="0074502B" w:rsidRDefault="00EA1186" w:rsidP="00EA1186">
      <w:pPr>
        <w:pStyle w:val="EndNoteBibliography"/>
        <w:spacing w:after="180" w:line="340" w:lineRule="exact"/>
        <w:ind w:left="720" w:hanging="720"/>
        <w:rPr>
          <w:noProof/>
        </w:rPr>
      </w:pPr>
      <w:bookmarkStart w:id="41" w:name="_ENREF_41"/>
      <w:r w:rsidRPr="0074502B">
        <w:rPr>
          <w:b/>
          <w:noProof/>
        </w:rPr>
        <w:t xml:space="preserve">Price, M.N., Dehal, P.S., and Arkin, A.P. </w:t>
      </w:r>
      <w:r w:rsidRPr="0074502B">
        <w:rPr>
          <w:noProof/>
        </w:rPr>
        <w:t xml:space="preserve">(2010). FastTree 2 – approximately maximum-likelihood trees for large alignments. PLoS ONE </w:t>
      </w:r>
      <w:r w:rsidRPr="0074502B">
        <w:rPr>
          <w:b/>
          <w:noProof/>
        </w:rPr>
        <w:t xml:space="preserve">5: </w:t>
      </w:r>
      <w:r w:rsidRPr="0074502B">
        <w:rPr>
          <w:noProof/>
        </w:rPr>
        <w:t>e9490.</w:t>
      </w:r>
      <w:bookmarkEnd w:id="41"/>
    </w:p>
    <w:p w:rsidR="00EA1186" w:rsidRPr="0074502B" w:rsidRDefault="00EA1186" w:rsidP="00EA1186">
      <w:pPr>
        <w:pStyle w:val="EndNoteBibliography"/>
        <w:spacing w:after="180" w:line="340" w:lineRule="exact"/>
        <w:ind w:left="720" w:hanging="720"/>
        <w:rPr>
          <w:noProof/>
        </w:rPr>
      </w:pPr>
      <w:bookmarkStart w:id="42" w:name="_ENREF_42"/>
      <w:r w:rsidRPr="0074502B">
        <w:rPr>
          <w:b/>
          <w:noProof/>
        </w:rPr>
        <w:t>R Core Team.</w:t>
      </w:r>
      <w:r w:rsidRPr="0074502B">
        <w:rPr>
          <w:noProof/>
        </w:rPr>
        <w:t xml:space="preserve"> (2016). R: A language and environment for statistical computing R Foundation for Statistical Computing, Vienna, Austria. </w:t>
      </w:r>
      <w:r w:rsidRPr="00EA1186">
        <w:rPr>
          <w:noProof/>
        </w:rPr>
        <w:t>https://www.R-project.org/</w:t>
      </w:r>
      <w:r w:rsidRPr="0074502B">
        <w:rPr>
          <w:noProof/>
        </w:rPr>
        <w:t>.</w:t>
      </w:r>
      <w:bookmarkEnd w:id="42"/>
    </w:p>
    <w:p w:rsidR="00EA1186" w:rsidRPr="0074502B" w:rsidRDefault="00EA1186" w:rsidP="00EA1186">
      <w:pPr>
        <w:pStyle w:val="EndNoteBibliography"/>
        <w:spacing w:after="180" w:line="340" w:lineRule="exact"/>
        <w:ind w:left="720" w:hanging="720"/>
        <w:rPr>
          <w:noProof/>
        </w:rPr>
      </w:pPr>
      <w:bookmarkStart w:id="43" w:name="_ENREF_43"/>
      <w:r w:rsidRPr="0074502B">
        <w:rPr>
          <w:b/>
          <w:noProof/>
        </w:rPr>
        <w:t xml:space="preserve">Rabosky, D.L. </w:t>
      </w:r>
      <w:r w:rsidRPr="0074502B">
        <w:rPr>
          <w:noProof/>
        </w:rPr>
        <w:t xml:space="preserve">(2014). Automatic detection of key innovations, rate shifts, and diversity-dependence on phylogenetic trees. PLoS ONE </w:t>
      </w:r>
      <w:r w:rsidRPr="0074502B">
        <w:rPr>
          <w:b/>
          <w:noProof/>
        </w:rPr>
        <w:t xml:space="preserve">9: </w:t>
      </w:r>
      <w:r w:rsidRPr="0074502B">
        <w:rPr>
          <w:noProof/>
        </w:rPr>
        <w:t>e89543.</w:t>
      </w:r>
      <w:bookmarkEnd w:id="43"/>
    </w:p>
    <w:p w:rsidR="00EA1186" w:rsidRPr="0074502B" w:rsidRDefault="00EA1186" w:rsidP="00EA1186">
      <w:pPr>
        <w:pStyle w:val="EndNoteBibliography"/>
        <w:spacing w:after="180" w:line="340" w:lineRule="exact"/>
        <w:ind w:left="720" w:hanging="720"/>
        <w:rPr>
          <w:noProof/>
        </w:rPr>
      </w:pPr>
      <w:bookmarkStart w:id="44" w:name="_ENREF_44"/>
      <w:r w:rsidRPr="0074502B">
        <w:rPr>
          <w:b/>
          <w:noProof/>
        </w:rPr>
        <w:t xml:space="preserve">Rabosky, D.L., Donnellan, S.C., Grundler, M., and Lovette, I.J. </w:t>
      </w:r>
      <w:r w:rsidRPr="0074502B">
        <w:rPr>
          <w:noProof/>
        </w:rPr>
        <w:t xml:space="preserve">(2014a). Analysis and visualization of complex macroevolutionary dynamics: an example from Australian scincid lizards. Syst. Biol. </w:t>
      </w:r>
      <w:r w:rsidRPr="0074502B">
        <w:rPr>
          <w:b/>
          <w:noProof/>
        </w:rPr>
        <w:t xml:space="preserve">63: </w:t>
      </w:r>
      <w:r w:rsidRPr="0074502B">
        <w:rPr>
          <w:noProof/>
        </w:rPr>
        <w:t>610-627.</w:t>
      </w:r>
      <w:bookmarkEnd w:id="44"/>
    </w:p>
    <w:p w:rsidR="00EA1186" w:rsidRPr="0074502B" w:rsidRDefault="00EA1186" w:rsidP="00EA1186">
      <w:pPr>
        <w:pStyle w:val="EndNoteBibliography"/>
        <w:spacing w:after="180" w:line="340" w:lineRule="exact"/>
        <w:ind w:left="720" w:hanging="720"/>
        <w:rPr>
          <w:noProof/>
        </w:rPr>
      </w:pPr>
      <w:bookmarkStart w:id="45" w:name="_ENREF_45"/>
      <w:r w:rsidRPr="0074502B">
        <w:rPr>
          <w:b/>
          <w:noProof/>
        </w:rPr>
        <w:t xml:space="preserve">Rabosky, D.L., Grundler, M., Anderson, C., Title, P., Shi, J.J., Brown, J.W., Huang, H., and Larson, J.G. </w:t>
      </w:r>
      <w:r w:rsidRPr="0074502B">
        <w:rPr>
          <w:noProof/>
        </w:rPr>
        <w:t xml:space="preserve">(2014b). BAMMtools: an R package for the analysis of evolutionary dynamics on phylogenetic trees. Methods in Ecology and Evolution </w:t>
      </w:r>
      <w:r w:rsidRPr="0074502B">
        <w:rPr>
          <w:b/>
          <w:noProof/>
        </w:rPr>
        <w:t xml:space="preserve">5: </w:t>
      </w:r>
      <w:r w:rsidRPr="0074502B">
        <w:rPr>
          <w:noProof/>
        </w:rPr>
        <w:t>701-707.</w:t>
      </w:r>
      <w:bookmarkEnd w:id="45"/>
    </w:p>
    <w:p w:rsidR="00EA1186" w:rsidRPr="0074502B" w:rsidRDefault="00EA1186" w:rsidP="00EA1186">
      <w:pPr>
        <w:pStyle w:val="EndNoteBibliography"/>
        <w:spacing w:after="180" w:line="340" w:lineRule="exact"/>
        <w:ind w:left="720" w:hanging="720"/>
        <w:rPr>
          <w:noProof/>
        </w:rPr>
      </w:pPr>
      <w:bookmarkStart w:id="46" w:name="_ENREF_46"/>
      <w:r w:rsidRPr="0074502B">
        <w:rPr>
          <w:b/>
          <w:noProof/>
        </w:rPr>
        <w:t>Rambaut, A., Suchard, M.A., Xie, D., and Drummond, A.J.</w:t>
      </w:r>
      <w:r w:rsidRPr="0074502B">
        <w:rPr>
          <w:noProof/>
        </w:rPr>
        <w:t xml:space="preserve"> (2014). Tracer v1.6. </w:t>
      </w:r>
      <w:r w:rsidRPr="00EA1186">
        <w:rPr>
          <w:noProof/>
        </w:rPr>
        <w:t>http://beastbioedacuk/Tracer</w:t>
      </w:r>
      <w:r w:rsidRPr="0074502B">
        <w:rPr>
          <w:noProof/>
        </w:rPr>
        <w:t xml:space="preserve"> (last accessed Nov. 06, 2016).</w:t>
      </w:r>
      <w:bookmarkEnd w:id="46"/>
    </w:p>
    <w:p w:rsidR="00EA1186" w:rsidRPr="0074502B" w:rsidRDefault="00EA1186" w:rsidP="00EA1186">
      <w:pPr>
        <w:pStyle w:val="EndNoteBibliography"/>
        <w:spacing w:after="180" w:line="340" w:lineRule="exact"/>
        <w:ind w:left="720" w:hanging="720"/>
        <w:rPr>
          <w:noProof/>
        </w:rPr>
      </w:pPr>
      <w:bookmarkStart w:id="47" w:name="_ENREF_47"/>
      <w:r w:rsidRPr="0074502B">
        <w:rPr>
          <w:b/>
          <w:noProof/>
        </w:rPr>
        <w:t>Roque, N., Keil, D.J., and Susana, A.</w:t>
      </w:r>
      <w:r w:rsidRPr="0074502B">
        <w:rPr>
          <w:noProof/>
        </w:rPr>
        <w:t xml:space="preserve"> (2009).  Illustrated glossary of Compositae. In: Systematics, Evolution and Biogeography of the Compositae--Funk, V.A., Susana, A., Stuessy, T.F., and Bayer, R.J., eds. Vienna: International Association for Plant Taxonomy. 781-806.</w:t>
      </w:r>
      <w:bookmarkEnd w:id="47"/>
    </w:p>
    <w:p w:rsidR="00EA1186" w:rsidRPr="0074502B" w:rsidRDefault="00EA1186" w:rsidP="00EA1186">
      <w:pPr>
        <w:pStyle w:val="EndNoteBibliography"/>
        <w:spacing w:after="180" w:line="340" w:lineRule="exact"/>
        <w:ind w:left="720" w:hanging="720"/>
        <w:rPr>
          <w:noProof/>
        </w:rPr>
      </w:pPr>
      <w:bookmarkStart w:id="48" w:name="_ENREF_48"/>
      <w:r w:rsidRPr="0074502B">
        <w:rPr>
          <w:b/>
          <w:noProof/>
        </w:rPr>
        <w:t xml:space="preserve">Sanderson, M.J. </w:t>
      </w:r>
      <w:r w:rsidRPr="0074502B">
        <w:rPr>
          <w:noProof/>
        </w:rPr>
        <w:t xml:space="preserve">(2002). Estimating absolute rates of molecular evolution and divergence times: a penalized likelihood approach. Mol. Biol. Evol. </w:t>
      </w:r>
      <w:r w:rsidRPr="0074502B">
        <w:rPr>
          <w:b/>
          <w:noProof/>
        </w:rPr>
        <w:t xml:space="preserve">19: </w:t>
      </w:r>
      <w:r w:rsidRPr="0074502B">
        <w:rPr>
          <w:noProof/>
        </w:rPr>
        <w:t>101-109.</w:t>
      </w:r>
      <w:bookmarkEnd w:id="48"/>
    </w:p>
    <w:p w:rsidR="00EA1186" w:rsidRPr="0074502B" w:rsidRDefault="00EA1186" w:rsidP="00EA1186">
      <w:pPr>
        <w:pStyle w:val="EndNoteBibliography"/>
        <w:spacing w:after="180" w:line="340" w:lineRule="exact"/>
        <w:ind w:left="720" w:hanging="720"/>
        <w:rPr>
          <w:noProof/>
        </w:rPr>
      </w:pPr>
      <w:bookmarkStart w:id="49" w:name="_ENREF_49"/>
      <w:r w:rsidRPr="0074502B">
        <w:rPr>
          <w:b/>
          <w:noProof/>
        </w:rPr>
        <w:lastRenderedPageBreak/>
        <w:t xml:space="preserve">Sanderson, M.J. </w:t>
      </w:r>
      <w:r w:rsidRPr="0074502B">
        <w:rPr>
          <w:noProof/>
        </w:rPr>
        <w:t xml:space="preserve">(2003). r8s: inferring absolute rates of molecular evolution and divergence times in the absence of a molecular clock. Bioinformatics </w:t>
      </w:r>
      <w:r w:rsidRPr="0074502B">
        <w:rPr>
          <w:b/>
          <w:noProof/>
        </w:rPr>
        <w:t xml:space="preserve">19: </w:t>
      </w:r>
      <w:r w:rsidRPr="0074502B">
        <w:rPr>
          <w:noProof/>
        </w:rPr>
        <w:t>301-302.</w:t>
      </w:r>
      <w:bookmarkEnd w:id="49"/>
    </w:p>
    <w:p w:rsidR="00EA1186" w:rsidRPr="0074502B" w:rsidRDefault="00EA1186" w:rsidP="00EA1186">
      <w:pPr>
        <w:pStyle w:val="EndNoteBibliography"/>
        <w:spacing w:after="180" w:line="340" w:lineRule="exact"/>
        <w:ind w:left="720" w:hanging="720"/>
        <w:rPr>
          <w:noProof/>
        </w:rPr>
      </w:pPr>
      <w:bookmarkStart w:id="50" w:name="_ENREF_50"/>
      <w:r w:rsidRPr="0074502B">
        <w:rPr>
          <w:b/>
          <w:noProof/>
        </w:rPr>
        <w:t xml:space="preserve">Smith, S.A., Beaulieu, J.M., and Donoghue, M.J. </w:t>
      </w:r>
      <w:r w:rsidRPr="0074502B">
        <w:rPr>
          <w:noProof/>
        </w:rPr>
        <w:t xml:space="preserve">(2010). An uncorrelated relaxed-clock analysis suggests an earlier origin for flowering plants. Proc. Natl. Acad. Sci. USA </w:t>
      </w:r>
      <w:r w:rsidRPr="0074502B">
        <w:rPr>
          <w:b/>
          <w:noProof/>
        </w:rPr>
        <w:t xml:space="preserve">107: </w:t>
      </w:r>
      <w:r w:rsidRPr="0074502B">
        <w:rPr>
          <w:noProof/>
        </w:rPr>
        <w:t>5897-5902.</w:t>
      </w:r>
      <w:bookmarkEnd w:id="50"/>
    </w:p>
    <w:p w:rsidR="00EA1186" w:rsidRPr="0074502B" w:rsidRDefault="00EA1186" w:rsidP="00EA1186">
      <w:pPr>
        <w:pStyle w:val="EndNoteBibliography"/>
        <w:spacing w:after="180" w:line="340" w:lineRule="exact"/>
        <w:ind w:left="720" w:hanging="720"/>
        <w:rPr>
          <w:noProof/>
        </w:rPr>
      </w:pPr>
      <w:bookmarkStart w:id="51" w:name="_ENREF_51"/>
      <w:r w:rsidRPr="0074502B">
        <w:rPr>
          <w:b/>
          <w:noProof/>
        </w:rPr>
        <w:t xml:space="preserve">Stamatakis, A. </w:t>
      </w:r>
      <w:r w:rsidRPr="0074502B">
        <w:rPr>
          <w:noProof/>
        </w:rPr>
        <w:t xml:space="preserve">(2006). RAxML-VI-HPC: maximum likelihood-based phylogenetic analyses with thousands of taxa and mixed models. Bioinformatics </w:t>
      </w:r>
      <w:r w:rsidRPr="0074502B">
        <w:rPr>
          <w:b/>
          <w:noProof/>
        </w:rPr>
        <w:t xml:space="preserve">22: </w:t>
      </w:r>
      <w:r w:rsidRPr="0074502B">
        <w:rPr>
          <w:noProof/>
        </w:rPr>
        <w:t>2688-2690.</w:t>
      </w:r>
      <w:bookmarkEnd w:id="51"/>
    </w:p>
    <w:p w:rsidR="00EA1186" w:rsidRPr="0074502B" w:rsidRDefault="00EA1186" w:rsidP="00EA1186">
      <w:pPr>
        <w:pStyle w:val="EndNoteBibliography"/>
        <w:spacing w:after="180" w:line="340" w:lineRule="exact"/>
        <w:ind w:left="720" w:hanging="720"/>
        <w:rPr>
          <w:noProof/>
        </w:rPr>
      </w:pPr>
      <w:bookmarkStart w:id="52" w:name="_ENREF_52"/>
      <w:r w:rsidRPr="0074502B">
        <w:rPr>
          <w:b/>
          <w:noProof/>
        </w:rPr>
        <w:t xml:space="preserve">Tank, D.C., Eastman, J.M., Pennell, M.W., Soltis, P.S., Soltis, D.E., Hinchliff, C.E., Brown, J.W., Sessa, E.B., and Harmon, L.J. </w:t>
      </w:r>
      <w:r w:rsidRPr="0074502B">
        <w:rPr>
          <w:noProof/>
        </w:rPr>
        <w:t xml:space="preserve">(2015). Nested radiations and the pulse of angiosperm diversification: increased diversification rates often follow whole genome duplications. New Phytol. </w:t>
      </w:r>
      <w:r w:rsidRPr="0074502B">
        <w:rPr>
          <w:b/>
          <w:noProof/>
        </w:rPr>
        <w:t xml:space="preserve">207: </w:t>
      </w:r>
      <w:r w:rsidRPr="0074502B">
        <w:rPr>
          <w:noProof/>
        </w:rPr>
        <w:t>454-467.</w:t>
      </w:r>
      <w:bookmarkEnd w:id="52"/>
    </w:p>
    <w:p w:rsidR="00EA1186" w:rsidRPr="0074502B" w:rsidRDefault="00EA1186" w:rsidP="00EA1186">
      <w:pPr>
        <w:pStyle w:val="EndNoteBibliography"/>
        <w:spacing w:after="180" w:line="340" w:lineRule="exact"/>
        <w:ind w:left="720" w:hanging="720"/>
        <w:rPr>
          <w:noProof/>
        </w:rPr>
      </w:pPr>
      <w:bookmarkStart w:id="53" w:name="_ENREF_53"/>
      <w:r w:rsidRPr="0074502B">
        <w:rPr>
          <w:b/>
          <w:noProof/>
        </w:rPr>
        <w:t xml:space="preserve">Watson, L.E., Evans, T.M., and Boluarte, T. </w:t>
      </w:r>
      <w:r w:rsidRPr="0074502B">
        <w:rPr>
          <w:noProof/>
        </w:rPr>
        <w:t xml:space="preserve">(2000). Molecular phylogeny and biogeography of tribe anthemideae (Asteraceae), based on chloroplast gene ndhF. Mol. Phylogen. Evol. </w:t>
      </w:r>
      <w:r w:rsidRPr="0074502B">
        <w:rPr>
          <w:b/>
          <w:noProof/>
        </w:rPr>
        <w:t xml:space="preserve">15: </w:t>
      </w:r>
      <w:r w:rsidRPr="0074502B">
        <w:rPr>
          <w:noProof/>
        </w:rPr>
        <w:t>59-69.</w:t>
      </w:r>
      <w:bookmarkEnd w:id="53"/>
    </w:p>
    <w:p w:rsidR="00EA1186" w:rsidRPr="0074502B" w:rsidRDefault="00EA1186" w:rsidP="00EA1186">
      <w:pPr>
        <w:pStyle w:val="EndNoteBibliography"/>
        <w:spacing w:after="180" w:line="340" w:lineRule="exact"/>
        <w:ind w:left="720" w:hanging="720"/>
        <w:rPr>
          <w:noProof/>
        </w:rPr>
      </w:pPr>
      <w:bookmarkStart w:id="54" w:name="_ENREF_54"/>
      <w:r w:rsidRPr="0074502B">
        <w:rPr>
          <w:b/>
          <w:noProof/>
        </w:rPr>
        <w:t xml:space="preserve">Winkworth, R.C., Lundberg, J., and Donoghue, M.J. </w:t>
      </w:r>
      <w:r w:rsidRPr="0074502B">
        <w:rPr>
          <w:noProof/>
        </w:rPr>
        <w:t xml:space="preserve">(2008). Toward a resolution of Campanulid phylogeny, with special reference to the placement of Dipsacales. Taxon </w:t>
      </w:r>
      <w:r w:rsidRPr="0074502B">
        <w:rPr>
          <w:b/>
          <w:noProof/>
        </w:rPr>
        <w:t xml:space="preserve">57: </w:t>
      </w:r>
      <w:r w:rsidRPr="0074502B">
        <w:rPr>
          <w:noProof/>
        </w:rPr>
        <w:t>53-65.</w:t>
      </w:r>
      <w:bookmarkEnd w:id="54"/>
    </w:p>
    <w:p w:rsidR="00EA1186" w:rsidRPr="0074502B" w:rsidRDefault="00EA1186" w:rsidP="00EA1186">
      <w:pPr>
        <w:pStyle w:val="EndNoteBibliography"/>
        <w:spacing w:after="180" w:line="340" w:lineRule="exact"/>
        <w:ind w:left="720" w:hanging="720"/>
        <w:rPr>
          <w:noProof/>
        </w:rPr>
      </w:pPr>
      <w:bookmarkStart w:id="55" w:name="_ENREF_55"/>
      <w:r w:rsidRPr="0074502B">
        <w:rPr>
          <w:b/>
          <w:noProof/>
        </w:rPr>
        <w:t xml:space="preserve">Xiang, Y.Z., Huang, C.H., Hu, Y., Wen, J., Li, S.S., Yi, T.S., Chen, H.Y., Xiang, J., and Ma, H. </w:t>
      </w:r>
      <w:r w:rsidRPr="0074502B">
        <w:rPr>
          <w:noProof/>
        </w:rPr>
        <w:t xml:space="preserve">(2016). Evolution of Rosaceae fruit types based on nuclear phylogeny in the context of geological times and genome duplication. Mol. Biol. Evol. </w:t>
      </w:r>
      <w:r w:rsidRPr="0074502B">
        <w:rPr>
          <w:b/>
          <w:noProof/>
        </w:rPr>
        <w:t xml:space="preserve">34: </w:t>
      </w:r>
      <w:r w:rsidRPr="0074502B">
        <w:rPr>
          <w:noProof/>
        </w:rPr>
        <w:t>262-281.</w:t>
      </w:r>
      <w:bookmarkEnd w:id="55"/>
    </w:p>
    <w:p w:rsidR="00EA1186" w:rsidRPr="0074502B" w:rsidRDefault="00EA1186" w:rsidP="00EA1186">
      <w:pPr>
        <w:pStyle w:val="EndNoteBibliography"/>
        <w:spacing w:after="180" w:line="340" w:lineRule="exact"/>
        <w:ind w:left="720" w:hanging="720"/>
        <w:rPr>
          <w:noProof/>
        </w:rPr>
      </w:pPr>
      <w:bookmarkStart w:id="56" w:name="_ENREF_56"/>
      <w:r w:rsidRPr="0074502B">
        <w:rPr>
          <w:b/>
          <w:noProof/>
        </w:rPr>
        <w:t xml:space="preserve">Zanne, A.E., Tank, D.C., Cornwell, W.K., Eastman, J.M., Smith, S.A., FitzJohn, R.G., McGlinn, D.J., O'Meara, B.C., Moles, A.T., Reich, P.B., Royer, D.L., Soltis, D.E., Stevens, P.F., Westoby, M., Wright, I.J., Aarssen, L., Bertin, R.I., Calaminus, A., Govaerts, R., Hemmings, F., Leishman, M.R., Oleksyn, J., Soltis, P.S., Swenson, N.G., Warman, L., and Beaulieu, J.M. </w:t>
      </w:r>
      <w:r w:rsidRPr="0074502B">
        <w:rPr>
          <w:noProof/>
        </w:rPr>
        <w:t xml:space="preserve">(2014). Three keys to the radiation of angiosperms into freezing environments. Nature </w:t>
      </w:r>
      <w:r w:rsidRPr="0074502B">
        <w:rPr>
          <w:b/>
          <w:noProof/>
        </w:rPr>
        <w:t xml:space="preserve">506: </w:t>
      </w:r>
      <w:r w:rsidRPr="0074502B">
        <w:rPr>
          <w:noProof/>
        </w:rPr>
        <w:t>89-92.</w:t>
      </w:r>
      <w:bookmarkEnd w:id="56"/>
    </w:p>
    <w:p w:rsidR="00EA1186" w:rsidRPr="0074502B" w:rsidRDefault="00EA1186" w:rsidP="00EA1186">
      <w:pPr>
        <w:pStyle w:val="EndNoteBibliography"/>
        <w:spacing w:after="180" w:line="340" w:lineRule="exact"/>
        <w:ind w:left="720" w:hanging="720"/>
        <w:rPr>
          <w:noProof/>
        </w:rPr>
      </w:pPr>
      <w:bookmarkStart w:id="57" w:name="_ENREF_57"/>
      <w:r w:rsidRPr="0074502B">
        <w:rPr>
          <w:b/>
          <w:noProof/>
        </w:rPr>
        <w:t xml:space="preserve">Zeng, L.P., Zhang, Q., Sun, R.R., Kong, H.Z., Zhang, N., and Ma, H. </w:t>
      </w:r>
      <w:r w:rsidRPr="0074502B">
        <w:rPr>
          <w:noProof/>
        </w:rPr>
        <w:t xml:space="preserve">(2014). Resolution of deep angiosperm phylogeny using conserved nuclear genes and estimates of early divergence times. Nat. Commun. </w:t>
      </w:r>
      <w:r w:rsidRPr="0074502B">
        <w:rPr>
          <w:b/>
          <w:noProof/>
        </w:rPr>
        <w:t xml:space="preserve">5: </w:t>
      </w:r>
      <w:r w:rsidRPr="0074502B">
        <w:rPr>
          <w:noProof/>
        </w:rPr>
        <w:t>4956.</w:t>
      </w:r>
      <w:bookmarkEnd w:id="57"/>
    </w:p>
    <w:p w:rsidR="00EA1186" w:rsidRDefault="00EA1186" w:rsidP="00EA1186">
      <w:pPr>
        <w:spacing w:after="180" w:line="340" w:lineRule="exact"/>
        <w:ind w:left="480" w:hangingChars="200" w:hanging="480"/>
        <w:jc w:val="both"/>
        <w:rPr>
          <w:lang w:eastAsia="zh-TW"/>
        </w:rPr>
      </w:pPr>
    </w:p>
    <w:p w:rsidR="007F2FEF" w:rsidRDefault="00EA1186" w:rsidP="00EA1186">
      <w:pPr>
        <w:spacing w:after="180" w:line="340" w:lineRule="exact"/>
      </w:pPr>
    </w:p>
    <w:sectPr w:rsidR="007F2FEF" w:rsidSect="0074502B">
      <w:footerReference w:type="even" r:id="rId5"/>
      <w:footerReference w:type="default" r:id="rId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Heiti SC Light">
    <w:altName w:val="Malgun Gothic Semilight"/>
    <w:charset w:val="80"/>
    <w:family w:val="auto"/>
    <w:pitch w:val="variable"/>
    <w:sig w:usb0="00000000" w:usb1="0807004A" w:usb2="00000010" w:usb3="00000000" w:csb0="003E0001" w:csb1="00000000"/>
  </w:font>
  <w:font w:name="PMingLiU">
    <w:altName w:val="Microsoft JhengHei"/>
    <w:panose1 w:val="02010601000101010101"/>
    <w:charset w:val="88"/>
    <w:family w:val="roman"/>
    <w:pitch w:val="variable"/>
    <w:sig w:usb0="00000000" w:usb1="28CFFCFA" w:usb2="00000016" w:usb3="00000000" w:csb0="00100001" w:csb1="00000000"/>
  </w:font>
  <w:font w:name="宋体">
    <w:altName w:val="SimSun"/>
    <w:panose1 w:val="02010600030101010101"/>
    <w:charset w:val="86"/>
    <w:family w:val="auto"/>
    <w:pitch w:val="variable"/>
    <w:sig w:usb0="00000003" w:usb1="288F0000" w:usb2="00000016" w:usb3="00000000" w:csb0="00040001" w:csb1="00000000"/>
  </w:font>
  <w:font w:name="AdvOT1ef757c0">
    <w:altName w:val="Yu Gothic UI"/>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CDA" w:rsidRDefault="00EA1186" w:rsidP="00A72EF7">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C37CDA" w:rsidRDefault="00EA1186">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CDA" w:rsidRDefault="00EA1186" w:rsidP="00A72EF7">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5</w:t>
    </w:r>
    <w:r>
      <w:rPr>
        <w:rStyle w:val="af"/>
      </w:rPr>
      <w:fldChar w:fldCharType="end"/>
    </w:r>
  </w:p>
  <w:p w:rsidR="00C37CDA" w:rsidRDefault="00EA1186">
    <w:pPr>
      <w:pStyle w:val="ad"/>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A1186"/>
    <w:rsid w:val="00583CA8"/>
    <w:rsid w:val="008D3FCA"/>
    <w:rsid w:val="00EA1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A72CA"/>
  <w15:chartTrackingRefBased/>
  <w15:docId w15:val="{FB2864BE-07CE-4C4A-BFDB-22E62854F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1186"/>
    <w:pPr>
      <w:spacing w:after="0" w:line="240" w:lineRule="auto"/>
    </w:pPr>
    <w:rPr>
      <w:rFonts w:ascii="Times New Roman" w:hAnsi="Times New Roman" w:cs="Times New Roman"/>
      <w:sz w:val="24"/>
      <w:szCs w:val="24"/>
    </w:rPr>
  </w:style>
  <w:style w:type="character" w:default="1" w:styleId="a0">
    <w:name w:val="Default Paragraph Font"/>
    <w:uiPriority w:val="1"/>
    <w:unhideWhenUsed/>
    <w:rsid w:val="00EA1186"/>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EA1186"/>
  </w:style>
  <w:style w:type="character" w:styleId="a3">
    <w:name w:val="Hyperlink"/>
    <w:basedOn w:val="a0"/>
    <w:uiPriority w:val="99"/>
    <w:unhideWhenUsed/>
    <w:qFormat/>
    <w:rsid w:val="00EA1186"/>
    <w:rPr>
      <w:rFonts w:ascii="Times New Roman" w:eastAsiaTheme="minorEastAsia" w:hAnsi="Times New Roman"/>
      <w:b w:val="0"/>
      <w:bCs w:val="0"/>
      <w:i w:val="0"/>
      <w:iCs w:val="0"/>
      <w:color w:val="0563C1" w:themeColor="hyperlink"/>
      <w:sz w:val="24"/>
      <w:szCs w:val="24"/>
      <w:u w:val="single"/>
      <w:em w:val="none"/>
    </w:rPr>
  </w:style>
  <w:style w:type="character" w:styleId="a4">
    <w:name w:val="FollowedHyperlink"/>
    <w:basedOn w:val="a0"/>
    <w:uiPriority w:val="99"/>
    <w:semiHidden/>
    <w:unhideWhenUsed/>
    <w:rsid w:val="00EA1186"/>
    <w:rPr>
      <w:rFonts w:ascii="Times New Roman" w:eastAsiaTheme="majorEastAsia" w:hAnsi="Times New Roman"/>
      <w:b w:val="0"/>
      <w:bCs w:val="0"/>
      <w:i w:val="0"/>
      <w:iCs w:val="0"/>
      <w:color w:val="auto"/>
      <w:sz w:val="24"/>
      <w:szCs w:val="24"/>
      <w:u w:val="single" w:color="FFFFFF" w:themeColor="background1"/>
      <w:em w:val="none"/>
    </w:rPr>
  </w:style>
  <w:style w:type="paragraph" w:styleId="a5">
    <w:name w:val="Balloon Text"/>
    <w:basedOn w:val="a"/>
    <w:link w:val="a6"/>
    <w:uiPriority w:val="99"/>
    <w:semiHidden/>
    <w:unhideWhenUsed/>
    <w:rsid w:val="00EA1186"/>
    <w:rPr>
      <w:rFonts w:ascii="Heiti SC Light" w:eastAsia="Heiti SC Light"/>
      <w:sz w:val="18"/>
      <w:szCs w:val="18"/>
    </w:rPr>
  </w:style>
  <w:style w:type="character" w:customStyle="1" w:styleId="a6">
    <w:name w:val="批注框文本 字符"/>
    <w:basedOn w:val="a0"/>
    <w:link w:val="a5"/>
    <w:uiPriority w:val="99"/>
    <w:semiHidden/>
    <w:rsid w:val="00EA1186"/>
    <w:rPr>
      <w:rFonts w:ascii="Heiti SC Light" w:eastAsia="Heiti SC Light" w:hAnsi="Times New Roman" w:cs="Times New Roman"/>
      <w:sz w:val="18"/>
      <w:szCs w:val="18"/>
    </w:rPr>
  </w:style>
  <w:style w:type="character" w:styleId="a7">
    <w:name w:val="Emphasis"/>
    <w:basedOn w:val="a0"/>
    <w:uiPriority w:val="20"/>
    <w:qFormat/>
    <w:rsid w:val="00EA1186"/>
    <w:rPr>
      <w:i/>
      <w:iCs/>
    </w:rPr>
  </w:style>
  <w:style w:type="character" w:styleId="a8">
    <w:name w:val="annotation reference"/>
    <w:basedOn w:val="a0"/>
    <w:uiPriority w:val="99"/>
    <w:semiHidden/>
    <w:unhideWhenUsed/>
    <w:rsid w:val="00EA1186"/>
    <w:rPr>
      <w:sz w:val="18"/>
      <w:szCs w:val="18"/>
    </w:rPr>
  </w:style>
  <w:style w:type="paragraph" w:styleId="a9">
    <w:name w:val="annotation text"/>
    <w:basedOn w:val="a"/>
    <w:link w:val="aa"/>
    <w:uiPriority w:val="99"/>
    <w:unhideWhenUsed/>
    <w:rsid w:val="00EA1186"/>
  </w:style>
  <w:style w:type="character" w:customStyle="1" w:styleId="aa">
    <w:name w:val="批注文字 字符"/>
    <w:basedOn w:val="a0"/>
    <w:link w:val="a9"/>
    <w:uiPriority w:val="99"/>
    <w:rsid w:val="00EA1186"/>
    <w:rPr>
      <w:rFonts w:ascii="Times New Roman" w:hAnsi="Times New Roman" w:cs="Times New Roman"/>
      <w:sz w:val="24"/>
      <w:szCs w:val="24"/>
    </w:rPr>
  </w:style>
  <w:style w:type="paragraph" w:styleId="ab">
    <w:name w:val="annotation subject"/>
    <w:basedOn w:val="a9"/>
    <w:next w:val="a9"/>
    <w:link w:val="ac"/>
    <w:uiPriority w:val="99"/>
    <w:semiHidden/>
    <w:unhideWhenUsed/>
    <w:rsid w:val="00EA1186"/>
    <w:rPr>
      <w:b/>
      <w:bCs/>
      <w:sz w:val="20"/>
      <w:szCs w:val="20"/>
    </w:rPr>
  </w:style>
  <w:style w:type="character" w:customStyle="1" w:styleId="ac">
    <w:name w:val="批注主题 字符"/>
    <w:basedOn w:val="aa"/>
    <w:link w:val="ab"/>
    <w:uiPriority w:val="99"/>
    <w:semiHidden/>
    <w:rsid w:val="00EA1186"/>
    <w:rPr>
      <w:rFonts w:ascii="Times New Roman" w:hAnsi="Times New Roman" w:cs="Times New Roman"/>
      <w:b/>
      <w:bCs/>
      <w:sz w:val="20"/>
      <w:szCs w:val="20"/>
    </w:rPr>
  </w:style>
  <w:style w:type="paragraph" w:styleId="ad">
    <w:name w:val="footer"/>
    <w:basedOn w:val="a"/>
    <w:link w:val="ae"/>
    <w:uiPriority w:val="99"/>
    <w:unhideWhenUsed/>
    <w:rsid w:val="00EA1186"/>
    <w:pPr>
      <w:tabs>
        <w:tab w:val="center" w:pos="4320"/>
        <w:tab w:val="right" w:pos="8640"/>
      </w:tabs>
    </w:pPr>
  </w:style>
  <w:style w:type="character" w:customStyle="1" w:styleId="ae">
    <w:name w:val="页脚 字符"/>
    <w:basedOn w:val="a0"/>
    <w:link w:val="ad"/>
    <w:uiPriority w:val="99"/>
    <w:rsid w:val="00EA1186"/>
    <w:rPr>
      <w:rFonts w:ascii="Times New Roman" w:hAnsi="Times New Roman" w:cs="Times New Roman"/>
      <w:sz w:val="24"/>
      <w:szCs w:val="24"/>
    </w:rPr>
  </w:style>
  <w:style w:type="character" w:styleId="af">
    <w:name w:val="page number"/>
    <w:basedOn w:val="a0"/>
    <w:uiPriority w:val="99"/>
    <w:semiHidden/>
    <w:unhideWhenUsed/>
    <w:rsid w:val="00EA1186"/>
  </w:style>
  <w:style w:type="character" w:customStyle="1" w:styleId="apple-converted-space">
    <w:name w:val="apple-converted-space"/>
    <w:basedOn w:val="a0"/>
    <w:rsid w:val="00EA1186"/>
  </w:style>
  <w:style w:type="paragraph" w:styleId="af0">
    <w:name w:val="Revision"/>
    <w:hidden/>
    <w:uiPriority w:val="99"/>
    <w:semiHidden/>
    <w:rsid w:val="00EA1186"/>
    <w:pPr>
      <w:spacing w:after="0" w:line="240" w:lineRule="auto"/>
    </w:pPr>
    <w:rPr>
      <w:rFonts w:ascii="Times New Roman" w:hAnsi="Times New Roman" w:cs="Times New Roman"/>
      <w:sz w:val="24"/>
      <w:szCs w:val="24"/>
    </w:rPr>
  </w:style>
  <w:style w:type="character" w:customStyle="1" w:styleId="cs1-format">
    <w:name w:val="cs1-format"/>
    <w:basedOn w:val="a0"/>
    <w:rsid w:val="00EA1186"/>
  </w:style>
  <w:style w:type="character" w:customStyle="1" w:styleId="reference-accessdate">
    <w:name w:val="reference-accessdate"/>
    <w:basedOn w:val="a0"/>
    <w:rsid w:val="00EA1186"/>
  </w:style>
  <w:style w:type="character" w:customStyle="1" w:styleId="nowrap">
    <w:name w:val="nowrap"/>
    <w:basedOn w:val="a0"/>
    <w:rsid w:val="00EA1186"/>
  </w:style>
  <w:style w:type="paragraph" w:customStyle="1" w:styleId="EndNoteBibliographyTitle">
    <w:name w:val="EndNote Bibliography Title"/>
    <w:basedOn w:val="a"/>
    <w:rsid w:val="00EA1186"/>
    <w:pPr>
      <w:jc w:val="center"/>
    </w:pPr>
  </w:style>
  <w:style w:type="paragraph" w:customStyle="1" w:styleId="EndNoteBibliography">
    <w:name w:val="EndNote Bibliography"/>
    <w:basedOn w:val="a"/>
    <w:rsid w:val="00EA1186"/>
    <w:pPr>
      <w:jc w:val="both"/>
    </w:pPr>
  </w:style>
  <w:style w:type="character" w:customStyle="1" w:styleId="UnresolvedMention1">
    <w:name w:val="Unresolved Mention1"/>
    <w:basedOn w:val="a0"/>
    <w:uiPriority w:val="99"/>
    <w:semiHidden/>
    <w:unhideWhenUsed/>
    <w:rsid w:val="00EA1186"/>
    <w:rPr>
      <w:color w:val="605E5C"/>
      <w:shd w:val="clear" w:color="auto" w:fill="E1DFDD"/>
    </w:rPr>
  </w:style>
  <w:style w:type="paragraph" w:styleId="af1">
    <w:name w:val="header"/>
    <w:basedOn w:val="a"/>
    <w:link w:val="af2"/>
    <w:uiPriority w:val="99"/>
    <w:semiHidden/>
    <w:unhideWhenUsed/>
    <w:rsid w:val="00EA1186"/>
    <w:pPr>
      <w:pBdr>
        <w:bottom w:val="single" w:sz="6" w:space="1" w:color="auto"/>
      </w:pBdr>
      <w:tabs>
        <w:tab w:val="center" w:pos="4153"/>
        <w:tab w:val="right" w:pos="8306"/>
      </w:tabs>
      <w:snapToGrid w:val="0"/>
      <w:jc w:val="center"/>
    </w:pPr>
    <w:rPr>
      <w:sz w:val="18"/>
      <w:szCs w:val="18"/>
    </w:rPr>
  </w:style>
  <w:style w:type="character" w:customStyle="1" w:styleId="af2">
    <w:name w:val="页眉 字符"/>
    <w:basedOn w:val="a0"/>
    <w:link w:val="af1"/>
    <w:uiPriority w:val="99"/>
    <w:semiHidden/>
    <w:rsid w:val="00EA1186"/>
    <w:rPr>
      <w:rFonts w:ascii="Times New Roman" w:hAnsi="Times New Roman" w:cs="Times New Roman"/>
      <w:sz w:val="18"/>
      <w:szCs w:val="18"/>
    </w:rPr>
  </w:style>
  <w:style w:type="character" w:customStyle="1" w:styleId="UnresolvedMention">
    <w:name w:val="Unresolved Mention"/>
    <w:basedOn w:val="a0"/>
    <w:uiPriority w:val="99"/>
    <w:semiHidden/>
    <w:unhideWhenUsed/>
    <w:rsid w:val="00EA11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yperlink" Target="http://sciweb.nybg.org/science2/IndexHerbariorum.asp"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26</Pages>
  <Words>9810</Words>
  <Characters>55919</Characters>
  <Application>Microsoft Office Word</Application>
  <DocSecurity>0</DocSecurity>
  <Lines>465</Lines>
  <Paragraphs>131</Paragraphs>
  <ScaleCrop>false</ScaleCrop>
  <Company/>
  <LinksUpToDate>false</LinksUpToDate>
  <CharactersWithSpaces>65598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 Shen</dc:creator>
  <cp:keywords/>
  <dc:description/>
  <cp:lastModifiedBy>Jie Shen</cp:lastModifiedBy>
  <cp:revision>1</cp:revision>
  <dcterms:created xsi:type="dcterms:W3CDTF">2021-02-08T15:32:00Z</dcterms:created>
  <dcterms:modified xsi:type="dcterms:W3CDTF">2021-02-08T15:35:00Z</dcterms:modified>
</cp:coreProperties>
</file>