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F1B56">
      <w:pPr>
        <w:widowControl w:val="0"/>
        <w:spacing w:before="50"/>
        <w:jc w:val="both"/>
        <w:rPr>
          <w:rFonts w:ascii="Times New Roman" w:hAnsi="Times New Roman" w:eastAsia="宋体" w:cs="Times New Roman"/>
          <w:b/>
          <w:bCs/>
          <w:i/>
          <w:iCs/>
          <w:color w:val="auto"/>
          <w:sz w:val="32"/>
          <w:szCs w:val="32"/>
        </w:rPr>
      </w:pPr>
      <w:r>
        <w:rPr>
          <w:rFonts w:ascii="Times New Roman" w:hAnsi="Times New Roman" w:eastAsia="宋体" w:cs="Times New Roman"/>
          <w:b/>
          <w:bCs/>
          <w:i/>
          <w:iCs/>
          <w:color w:val="auto"/>
          <w:sz w:val="32"/>
          <w:szCs w:val="32"/>
        </w:rPr>
        <w:t>SUPPORTING INFORMATION</w:t>
      </w:r>
    </w:p>
    <w:p w14:paraId="1B91182F">
      <w:pPr>
        <w:widowControl w:val="0"/>
        <w:spacing w:before="50"/>
        <w:jc w:val="both"/>
        <w:rPr>
          <w:rFonts w:ascii="Times New Roman" w:hAnsi="Times New Roman" w:eastAsia="宋体" w:cs="Times New Roman"/>
          <w:b/>
          <w:bCs/>
          <w:i/>
          <w:iCs/>
          <w:color w:val="auto"/>
          <w:sz w:val="32"/>
          <w:szCs w:val="32"/>
        </w:rPr>
      </w:pPr>
    </w:p>
    <w:p w14:paraId="563E63E1">
      <w:pPr>
        <w:spacing w:line="360" w:lineRule="auto"/>
        <w:rPr>
          <w:rFonts w:ascii="Times New Roman" w:hAnsi="Times New Roman" w:cs="Times New Roman"/>
          <w:b/>
          <w:bCs/>
          <w:color w:val="auto"/>
          <w:sz w:val="22"/>
          <w:szCs w:val="22"/>
        </w:rPr>
      </w:pPr>
      <w:r>
        <w:rPr>
          <w:rFonts w:ascii="Times New Roman" w:hAnsi="Times New Roman" w:cs="Times New Roman"/>
          <w:b/>
          <w:bCs/>
          <w:color w:val="auto"/>
          <w:sz w:val="22"/>
          <w:szCs w:val="22"/>
        </w:rPr>
        <w:t>Xin Li, Jiahui Zhang, Kathrin Rousk, Yi Jiao, Pu Yan, and Nianpeng He</w:t>
      </w:r>
    </w:p>
    <w:p w14:paraId="65222ABD">
      <w:pPr>
        <w:spacing w:line="360" w:lineRule="auto"/>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Key Laboratory of Ecosystem Network Observation and Modeling, Institute of Geographic Sciences and Natural Resources Research, Chinese Academy of Sciences, Beijing, 100101, China </w:t>
      </w:r>
    </w:p>
    <w:p w14:paraId="2481A541">
      <w:pPr>
        <w:rPr>
          <w:rFonts w:ascii="Times New Roman" w:hAnsi="Times New Roman" w:cs="Times New Roman"/>
          <w:b/>
          <w:bCs/>
          <w:color w:val="auto"/>
          <w:sz w:val="22"/>
          <w:szCs w:val="22"/>
        </w:rPr>
      </w:pPr>
      <w:bookmarkStart w:id="0" w:name="_Hlk178090774"/>
      <w:r>
        <w:rPr>
          <w:rFonts w:ascii="Times New Roman" w:hAnsi="Times New Roman" w:cs="Times New Roman"/>
          <w:b/>
          <w:bCs/>
          <w:color w:val="auto"/>
          <w:sz w:val="22"/>
          <w:szCs w:val="22"/>
        </w:rPr>
        <w:t>Leaf Multi-dimensional Stoichiometry as a Robust Predictor of Productivity on the Tibetan Plateau</w:t>
      </w:r>
    </w:p>
    <w:bookmarkEnd w:id="0"/>
    <w:p w14:paraId="6BB8BCFE">
      <w:pPr>
        <w:rPr>
          <w:rFonts w:ascii="Times New Roman" w:hAnsi="Times New Roman" w:eastAsia="楷体" w:cs="Times New Roman"/>
          <w:b/>
          <w:color w:val="auto"/>
          <w:sz w:val="24"/>
          <w:szCs w:val="28"/>
          <w:lang w:bidi="ar"/>
        </w:rPr>
      </w:pPr>
    </w:p>
    <w:p w14:paraId="21899B64">
      <w:pPr>
        <w:rPr>
          <w:rFonts w:ascii="Times New Roman" w:hAnsi="Times New Roman" w:eastAsia="楷体" w:cs="Times New Roman"/>
          <w:b/>
          <w:color w:val="auto"/>
          <w:sz w:val="24"/>
          <w:szCs w:val="28"/>
          <w:lang w:bidi="ar"/>
        </w:rPr>
      </w:pPr>
    </w:p>
    <w:p w14:paraId="4D2B9592">
      <w:pPr>
        <w:rPr>
          <w:rFonts w:ascii="Times New Roman" w:hAnsi="Times New Roman" w:eastAsia="楷体" w:cs="Times New Roman"/>
          <w:b/>
          <w:color w:val="auto"/>
          <w:sz w:val="24"/>
          <w:szCs w:val="28"/>
          <w:lang w:bidi="ar"/>
        </w:rPr>
      </w:pPr>
    </w:p>
    <w:p w14:paraId="25B2B000">
      <w:pPr>
        <w:rPr>
          <w:rFonts w:ascii="宋体" w:hAnsi="宋体" w:eastAsia="宋体" w:cs="宋体"/>
          <w:color w:val="auto"/>
          <w:sz w:val="24"/>
        </w:rPr>
      </w:pPr>
      <w:r>
        <w:rPr>
          <w:rFonts w:hint="eastAsia" w:ascii="宋体" w:hAnsi="宋体" w:eastAsia="宋体" w:cs="宋体"/>
          <w:color w:val="auto"/>
          <w:sz w:val="24"/>
        </w:rPr>
        <w:br w:type="page"/>
      </w:r>
    </w:p>
    <w:p w14:paraId="6C2E4DA0">
      <w:pPr>
        <w:widowControl w:val="0"/>
        <w:spacing w:before="50"/>
        <w:jc w:val="both"/>
        <w:rPr>
          <w:rFonts w:ascii="Times New Roman" w:hAnsi="Times New Roman" w:eastAsia="楷体" w:cs="Times New Roman"/>
          <w:bCs/>
          <w:color w:val="auto"/>
          <w:sz w:val="24"/>
          <w:szCs w:val="28"/>
          <w:lang w:bidi="ar"/>
        </w:rPr>
      </w:pPr>
      <w:bookmarkStart w:id="1" w:name="_Hlk192508630"/>
      <w:r>
        <w:rPr>
          <w:rFonts w:hint="eastAsia" w:ascii="Times New Roman" w:hAnsi="Times New Roman" w:eastAsia="楷体" w:cs="Times New Roman"/>
          <w:b/>
          <w:color w:val="auto"/>
          <w:sz w:val="24"/>
          <w:szCs w:val="28"/>
          <w:lang w:bidi="ar"/>
        </w:rPr>
        <w:t>Text</w:t>
      </w:r>
      <w:r>
        <w:rPr>
          <w:rFonts w:ascii="Times New Roman" w:hAnsi="Times New Roman" w:eastAsia="楷体" w:cs="Times New Roman"/>
          <w:b/>
          <w:color w:val="auto"/>
          <w:sz w:val="24"/>
          <w:szCs w:val="28"/>
          <w:lang w:bidi="ar"/>
        </w:rPr>
        <w:t xml:space="preserve"> </w:t>
      </w:r>
      <w:r>
        <w:rPr>
          <w:rFonts w:hint="eastAsia" w:ascii="Times New Roman" w:hAnsi="Times New Roman" w:eastAsia="楷体" w:cs="Times New Roman"/>
          <w:b/>
          <w:color w:val="auto"/>
          <w:sz w:val="24"/>
          <w:szCs w:val="28"/>
          <w:lang w:bidi="ar"/>
        </w:rPr>
        <w:t>S</w:t>
      </w:r>
      <w:r>
        <w:rPr>
          <w:rFonts w:ascii="Times New Roman" w:hAnsi="Times New Roman" w:eastAsia="楷体" w:cs="Times New Roman"/>
          <w:b/>
          <w:color w:val="auto"/>
          <w:sz w:val="24"/>
          <w:szCs w:val="28"/>
          <w:lang w:bidi="ar"/>
        </w:rPr>
        <w:t>1</w:t>
      </w:r>
      <w:r>
        <w:rPr>
          <w:rFonts w:hint="eastAsia" w:ascii="Times New Roman" w:hAnsi="Times New Roman" w:eastAsia="楷体" w:cs="Times New Roman"/>
          <w:b/>
          <w:color w:val="auto"/>
          <w:sz w:val="24"/>
          <w:szCs w:val="28"/>
          <w:lang w:bidi="ar"/>
        </w:rPr>
        <w:t xml:space="preserve"> Ecosystem Productivity and the Engine Analogy</w:t>
      </w:r>
    </w:p>
    <w:p w14:paraId="7A8DB04B">
      <w:pPr>
        <w:widowControl w:val="0"/>
        <w:spacing w:before="50"/>
        <w:jc w:val="both"/>
        <w:rPr>
          <w:rFonts w:ascii="Times New Roman" w:hAnsi="Times New Roman" w:eastAsia="楷体" w:cs="Times New Roman"/>
          <w:bCs/>
          <w:color w:val="auto"/>
          <w:sz w:val="24"/>
          <w:szCs w:val="28"/>
          <w:lang w:bidi="ar"/>
        </w:rPr>
      </w:pPr>
      <w:r>
        <w:rPr>
          <w:rFonts w:ascii="Times New Roman" w:hAnsi="Times New Roman" w:eastAsia="楷体" w:cs="Times New Roman"/>
          <w:bCs/>
          <w:color w:val="auto"/>
          <w:sz w:val="24"/>
          <w:szCs w:val="28"/>
          <w:lang w:bidi="ar"/>
        </w:rPr>
        <w:t xml:space="preserve">According to classical physics theory, the power of an engine is primarily determined by </w:t>
      </w:r>
      <w:r>
        <w:rPr>
          <w:rFonts w:hint="eastAsia" w:ascii="Times New Roman" w:hAnsi="Times New Roman" w:eastAsia="楷体" w:cs="Times New Roman"/>
          <w:bCs/>
          <w:color w:val="auto"/>
          <w:sz w:val="24"/>
          <w:szCs w:val="28"/>
          <w:lang w:bidi="ar"/>
        </w:rPr>
        <w:t>the fuel input per unit of time and the engine's performance within that time frame</w:t>
      </w:r>
      <w:r>
        <w:rPr>
          <w:rFonts w:ascii="Times New Roman" w:hAnsi="Times New Roman" w:eastAsia="楷体" w:cs="Times New Roman"/>
          <w:bCs/>
          <w:color w:val="auto"/>
          <w:sz w:val="24"/>
          <w:szCs w:val="28"/>
          <w:lang w:bidi="ar"/>
        </w:rPr>
        <w:t>. Additionally, within a given time frame, the total work performed by the engine is also contingent upon its operational duration.</w:t>
      </w:r>
    </w:p>
    <w:p w14:paraId="04B5DF31">
      <w:pPr>
        <w:widowControl w:val="0"/>
        <w:spacing w:before="50"/>
        <w:jc w:val="both"/>
        <w:rPr>
          <w:rFonts w:ascii="Times New Roman" w:hAnsi="Times New Roman" w:eastAsia="楷体" w:cs="Times New Roman"/>
          <w:bCs/>
          <w:color w:val="auto"/>
          <w:sz w:val="24"/>
          <w:szCs w:val="28"/>
          <w:lang w:bidi="ar"/>
        </w:rPr>
      </w:pPr>
    </w:p>
    <w:p w14:paraId="1578ADE6">
      <w:pPr>
        <w:widowControl w:val="0"/>
        <w:spacing w:before="50"/>
        <w:jc w:val="both"/>
        <w:rPr>
          <w:rFonts w:ascii="Times New Roman" w:hAnsi="Times New Roman" w:eastAsia="楷体" w:cs="Times New Roman"/>
          <w:color w:val="auto"/>
        </w:rPr>
      </w:pPr>
      <m:oMathPara>
        <m:oMath>
          <m:eqArr>
            <m:eqArrPr>
              <m:maxDist m:val="1"/>
              <m:ctrlPr>
                <w:rPr>
                  <w:rFonts w:ascii="Cambria Math" w:hAnsi="Cambria Math" w:cs="Times New Roman"/>
                  <w:color w:val="auto"/>
                </w:rPr>
              </m:ctrlPr>
            </m:eqArrPr>
            <m:e>
              <m:r>
                <m:rPr/>
                <w:rPr>
                  <w:rFonts w:ascii="Cambria Math" w:hAnsi="Cambria Math" w:cs="Times New Roman"/>
                  <w:color w:val="auto"/>
                </w:rPr>
                <m:t>W=P×T=</m:t>
              </m:r>
              <m:sSub>
                <m:sSubPr>
                  <m:ctrlPr>
                    <w:rPr>
                      <w:rFonts w:ascii="Cambria Math" w:hAnsi="Cambria Math" w:cs="Times New Roman"/>
                      <w:i/>
                      <w:color w:val="auto"/>
                    </w:rPr>
                  </m:ctrlPr>
                </m:sSubPr>
                <m:e>
                  <m:r>
                    <m:rPr/>
                    <w:rPr>
                      <w:rFonts w:ascii="Cambria Math" w:hAnsi="Cambria Math" w:cs="Times New Roman"/>
                      <w:color w:val="auto"/>
                    </w:rPr>
                    <m:t>F</m:t>
                  </m:r>
                  <m:ctrlPr>
                    <w:rPr>
                      <w:rFonts w:ascii="Cambria Math" w:hAnsi="Cambria Math" w:cs="Times New Roman"/>
                      <w:i/>
                      <w:color w:val="auto"/>
                    </w:rPr>
                  </m:ctrlPr>
                </m:e>
                <m:sub>
                  <m:r>
                    <m:rPr>
                      <m:sty m:val="p"/>
                    </m:rPr>
                    <w:rPr>
                      <w:rFonts w:ascii="Cambria Math" w:hAnsi="Cambria Math" w:eastAsia="楷体" w:cs="Times New Roman"/>
                      <w:color w:val="auto"/>
                      <w:sz w:val="24"/>
                      <w:szCs w:val="28"/>
                      <w:vertAlign w:val="subscript"/>
                      <w:lang w:bidi="ar"/>
                    </w:rPr>
                    <m:t>input</m:t>
                  </m:r>
                  <m:ctrlPr>
                    <w:rPr>
                      <w:rFonts w:ascii="Cambria Math" w:hAnsi="Cambria Math" w:cs="Times New Roman"/>
                      <w:color w:val="auto"/>
                    </w:rPr>
                  </m:ctrlPr>
                </m:sub>
              </m:sSub>
              <m:r>
                <m:rPr>
                  <m:sty m:val="p"/>
                </m:rPr>
                <w:rPr>
                  <w:rFonts w:ascii="Cambria Math" w:hAnsi="Cambria Math" w:cs="Times New Roman"/>
                  <w:color w:val="auto"/>
                </w:rPr>
                <m:t>×</m:t>
              </m:r>
              <m:sSub>
                <m:sSubPr>
                  <m:ctrlPr>
                    <w:rPr>
                      <w:rFonts w:ascii="Cambria Math" w:hAnsi="Cambria Math" w:cs="Times New Roman"/>
                      <w:color w:val="auto"/>
                    </w:rPr>
                  </m:ctrlPr>
                </m:sSubPr>
                <m:e>
                  <m:r>
                    <m:rPr>
                      <m:sty m:val="p"/>
                    </m:rPr>
                    <w:rPr>
                      <w:rFonts w:ascii="Cambria Math" w:hAnsi="Cambria Math" w:cs="Times New Roman"/>
                      <w:color w:val="auto"/>
                    </w:rPr>
                    <m:t>E</m:t>
                  </m:r>
                  <m:ctrlPr>
                    <w:rPr>
                      <w:rFonts w:ascii="Cambria Math" w:hAnsi="Cambria Math" w:cs="Times New Roman"/>
                      <w:color w:val="auto"/>
                    </w:rPr>
                  </m:ctrlPr>
                </m:e>
                <m:sub>
                  <m:r>
                    <m:rPr>
                      <m:sty m:val="p"/>
                    </m:rPr>
                    <w:rPr>
                      <w:rFonts w:hint="eastAsia" w:ascii="Cambria Math" w:hAnsi="Cambria Math" w:eastAsia="楷体" w:cs="Times New Roman"/>
                      <w:color w:val="auto"/>
                      <w:sz w:val="24"/>
                      <w:szCs w:val="28"/>
                      <w:lang w:bidi="ar"/>
                    </w:rPr>
                    <m:t>performance</m:t>
                  </m:r>
                  <m:r>
                    <m:rPr>
                      <m:sty m:val="p"/>
                    </m:rPr>
                    <w:rPr>
                      <w:rFonts w:ascii="Times New Roman" w:hAnsi="Times New Roman" w:eastAsia="楷体" w:cs="Times New Roman"/>
                      <w:color w:val="auto"/>
                      <w:sz w:val="24"/>
                      <w:szCs w:val="28"/>
                      <w:lang w:bidi="ar"/>
                    </w:rPr>
                    <m:t xml:space="preserve"> </m:t>
                  </m:r>
                  <m:ctrlPr>
                    <w:rPr>
                      <w:rFonts w:ascii="Cambria Math" w:hAnsi="Cambria Math" w:cs="Times New Roman"/>
                      <w:color w:val="auto"/>
                    </w:rPr>
                  </m:ctrlPr>
                </m:sub>
              </m:sSub>
              <m:r>
                <m:rPr>
                  <m:sty m:val="p"/>
                </m:rPr>
                <w:rPr>
                  <w:rFonts w:ascii="Cambria Math" w:hAnsi="Cambria Math" w:cs="Times New Roman"/>
                  <w:color w:val="auto"/>
                </w:rPr>
                <m:t>×T×a</m:t>
              </m:r>
              <m:r>
                <m:rPr/>
                <w:rPr>
                  <w:rFonts w:ascii="Cambria Math" w:hAnsi="Cambria Math" w:cs="Times New Roman"/>
                  <w:color w:val="auto"/>
                </w:rPr>
                <m:t>#</m:t>
              </m:r>
              <m:r>
                <m:rPr>
                  <m:sty m:val="p"/>
                </m:rPr>
                <w:rPr>
                  <w:rFonts w:ascii="Cambria Math" w:hAnsi="Cambria Math" w:cs="Times New Roman"/>
                  <w:color w:val="auto"/>
                </w:rPr>
                <m:t>1</m:t>
              </m:r>
              <m:ctrlPr>
                <w:rPr>
                  <w:rFonts w:ascii="Cambria Math" w:hAnsi="Cambria Math" w:cs="Times New Roman"/>
                  <w:color w:val="auto"/>
                </w:rPr>
              </m:ctrlPr>
            </m:e>
          </m:eqArr>
        </m:oMath>
      </m:oMathPara>
    </w:p>
    <w:p w14:paraId="5CE80FA3">
      <w:pPr>
        <w:widowControl w:val="0"/>
        <w:spacing w:before="50"/>
        <w:jc w:val="both"/>
        <w:rPr>
          <w:rFonts w:ascii="Times New Roman" w:hAnsi="Times New Roman" w:cs="Times New Roman"/>
          <w:color w:val="auto"/>
        </w:rPr>
      </w:pPr>
      <w:r>
        <w:rPr>
          <w:rFonts w:ascii="Times New Roman" w:hAnsi="Times New Roman" w:eastAsia="楷体" w:cs="Times New Roman"/>
          <w:bCs/>
          <w:color w:val="auto"/>
          <w:sz w:val="24"/>
          <w:szCs w:val="28"/>
          <w:lang w:bidi="ar"/>
        </w:rPr>
        <w:t xml:space="preserve">The work done by an engine (W) refers to the conversion of the thermal energy of fuel into mechanical energy, typically determined by the actual power (P) and the operational time of the engine (T). Power (P) represents the speed of the engine's operation and is a crucial metric for assessing engine performance, reflecting how much mechanical work the engine can accomplish in a unit of time. In an abstract sense, both </w:t>
      </w:r>
      <m:oMath>
        <m:sSub>
          <m:sSubPr>
            <m:ctrlPr>
              <w:rPr>
                <w:rFonts w:ascii="Cambria Math" w:hAnsi="Cambria Math" w:cs="Times New Roman"/>
                <w:i/>
                <w:color w:val="auto"/>
              </w:rPr>
            </m:ctrlPr>
          </m:sSubPr>
          <m:e>
            <m:r>
              <m:rPr/>
              <w:rPr>
                <w:rFonts w:ascii="Cambria Math" w:hAnsi="Cambria Math" w:cs="Times New Roman"/>
                <w:color w:val="auto"/>
              </w:rPr>
              <m:t>F</m:t>
            </m:r>
            <m:ctrlPr>
              <w:rPr>
                <w:rFonts w:ascii="Cambria Math" w:hAnsi="Cambria Math" w:cs="Times New Roman"/>
                <w:i/>
                <w:color w:val="auto"/>
              </w:rPr>
            </m:ctrlPr>
          </m:e>
          <m:sub>
            <m:r>
              <m:rPr>
                <m:sty m:val="p"/>
              </m:rPr>
              <w:rPr>
                <w:rFonts w:ascii="Cambria Math" w:hAnsi="Cambria Math" w:eastAsia="楷体" w:cs="Times New Roman"/>
                <w:color w:val="auto"/>
                <w:sz w:val="24"/>
                <w:szCs w:val="28"/>
                <w:vertAlign w:val="subscript"/>
                <w:lang w:bidi="ar"/>
              </w:rPr>
              <m:t>input</m:t>
            </m:r>
            <m:ctrlPr>
              <w:rPr>
                <w:rFonts w:ascii="Cambria Math" w:hAnsi="Cambria Math" w:cs="Times New Roman"/>
                <w:color w:val="auto"/>
              </w:rPr>
            </m:ctrlPr>
          </m:sub>
        </m:sSub>
      </m:oMath>
      <w:r>
        <w:rPr>
          <w:rFonts w:ascii="Times New Roman" w:hAnsi="Times New Roman" w:eastAsia="楷体" w:cs="Times New Roman"/>
          <w:bCs/>
          <w:color w:val="auto"/>
          <w:sz w:val="24"/>
          <w:szCs w:val="28"/>
          <w:lang w:bidi="ar"/>
        </w:rPr>
        <w:t xml:space="preserve"> (fuel </w:t>
      </w:r>
      <w:r>
        <w:rPr>
          <w:rFonts w:hint="eastAsia" w:ascii="Times New Roman" w:hAnsi="Times New Roman" w:eastAsia="楷体" w:cs="Times New Roman"/>
          <w:bCs/>
          <w:color w:val="auto"/>
          <w:sz w:val="24"/>
          <w:szCs w:val="28"/>
          <w:lang w:bidi="ar"/>
        </w:rPr>
        <w:t>input</w:t>
      </w:r>
      <w:r>
        <w:rPr>
          <w:rFonts w:ascii="Times New Roman" w:hAnsi="Times New Roman" w:eastAsia="楷体" w:cs="Times New Roman"/>
          <w:bCs/>
          <w:color w:val="auto"/>
          <w:sz w:val="24"/>
          <w:szCs w:val="28"/>
          <w:lang w:bidi="ar"/>
        </w:rPr>
        <w:t xml:space="preserve"> per unit time) and </w:t>
      </w:r>
      <m:oMath>
        <m:sSub>
          <m:sSubPr>
            <m:ctrlPr>
              <w:rPr>
                <w:rFonts w:ascii="Cambria Math" w:hAnsi="Cambria Math" w:cs="Times New Roman"/>
                <w:color w:val="auto"/>
              </w:rPr>
            </m:ctrlPr>
          </m:sSubPr>
          <m:e>
            <m:r>
              <m:rPr>
                <m:sty m:val="p"/>
              </m:rPr>
              <w:rPr>
                <w:rFonts w:ascii="Cambria Math" w:hAnsi="Cambria Math" w:cs="Times New Roman"/>
                <w:color w:val="auto"/>
              </w:rPr>
              <m:t>E</m:t>
            </m:r>
            <m:ctrlPr>
              <w:rPr>
                <w:rFonts w:ascii="Cambria Math" w:hAnsi="Cambria Math" w:cs="Times New Roman"/>
                <w:color w:val="auto"/>
              </w:rPr>
            </m:ctrlPr>
          </m:e>
          <m:sub>
            <m:r>
              <m:rPr>
                <m:sty m:val="p"/>
              </m:rPr>
              <w:rPr>
                <w:rFonts w:hint="eastAsia" w:ascii="Cambria Math" w:hAnsi="Cambria Math" w:eastAsia="楷体" w:cs="Times New Roman"/>
                <w:color w:val="auto"/>
                <w:sz w:val="24"/>
                <w:szCs w:val="28"/>
                <w:lang w:bidi="ar"/>
              </w:rPr>
              <m:t>performance</m:t>
            </m:r>
            <m:r>
              <m:rPr>
                <m:sty m:val="p"/>
              </m:rPr>
              <w:rPr>
                <w:rFonts w:ascii="Times New Roman" w:hAnsi="Times New Roman" w:eastAsia="楷体" w:cs="Times New Roman"/>
                <w:color w:val="auto"/>
                <w:sz w:val="24"/>
                <w:szCs w:val="28"/>
                <w:lang w:bidi="ar"/>
              </w:rPr>
              <m:t xml:space="preserve"> </m:t>
            </m:r>
            <m:ctrlPr>
              <w:rPr>
                <w:rFonts w:ascii="Cambria Math" w:hAnsi="Cambria Math" w:cs="Times New Roman"/>
                <w:color w:val="auto"/>
              </w:rPr>
            </m:ctrlPr>
          </m:sub>
        </m:sSub>
        <m:r>
          <m:rPr/>
          <w:rPr>
            <w:rFonts w:ascii="Cambria Math" w:hAnsi="Cambria Math" w:cs="Times New Roman"/>
            <w:color w:val="auto"/>
          </w:rPr>
          <m:t xml:space="preserve"> </m:t>
        </m:r>
      </m:oMath>
      <w:r>
        <w:rPr>
          <w:rFonts w:ascii="Times New Roman" w:hAnsi="Times New Roman" w:eastAsia="楷体" w:cs="Times New Roman"/>
          <w:bCs/>
          <w:color w:val="auto"/>
          <w:sz w:val="24"/>
          <w:szCs w:val="28"/>
          <w:lang w:bidi="ar"/>
        </w:rPr>
        <w:t>(</w:t>
      </w:r>
      <w:r>
        <w:rPr>
          <w:rFonts w:hint="eastAsia" w:ascii="Times New Roman" w:hAnsi="Times New Roman" w:eastAsia="楷体" w:cs="Times New Roman"/>
          <w:bCs/>
          <w:color w:val="auto"/>
          <w:sz w:val="24"/>
          <w:szCs w:val="28"/>
          <w:lang w:bidi="ar"/>
        </w:rPr>
        <w:t>p</w:t>
      </w:r>
      <w:r>
        <w:rPr>
          <w:rFonts w:ascii="Times New Roman" w:hAnsi="Times New Roman" w:eastAsia="楷体" w:cs="Times New Roman"/>
          <w:bCs/>
          <w:color w:val="auto"/>
          <w:sz w:val="24"/>
          <w:szCs w:val="28"/>
          <w:lang w:bidi="ar"/>
        </w:rPr>
        <w:t>erformance of the engine</w:t>
      </w:r>
      <w:r>
        <w:rPr>
          <w:rFonts w:hint="eastAsia" w:ascii="Times New Roman" w:hAnsi="Times New Roman" w:eastAsia="楷体" w:cs="Times New Roman"/>
          <w:bCs/>
          <w:color w:val="auto"/>
          <w:sz w:val="24"/>
          <w:szCs w:val="28"/>
          <w:lang w:bidi="ar"/>
        </w:rPr>
        <w:t>,</w:t>
      </w:r>
      <w:r>
        <w:rPr>
          <w:color w:val="auto"/>
        </w:rPr>
        <w:t xml:space="preserve"> </w:t>
      </w:r>
      <w:r>
        <w:rPr>
          <w:rFonts w:hint="eastAsia" w:ascii="Times New Roman" w:hAnsi="Times New Roman" w:eastAsia="楷体" w:cs="Times New Roman"/>
          <w:bCs/>
          <w:color w:val="auto"/>
          <w:sz w:val="24"/>
          <w:szCs w:val="28"/>
          <w:lang w:bidi="ar"/>
        </w:rPr>
        <w:t>t</w:t>
      </w:r>
      <w:r>
        <w:rPr>
          <w:rFonts w:ascii="Times New Roman" w:hAnsi="Times New Roman" w:eastAsia="楷体" w:cs="Times New Roman"/>
          <w:bCs/>
          <w:color w:val="auto"/>
          <w:sz w:val="24"/>
          <w:szCs w:val="28"/>
          <w:lang w:bidi="ar"/>
        </w:rPr>
        <w:t>he performance of the engine affects the rate of resource release) collectively influence the engine's power.</w:t>
      </w:r>
    </w:p>
    <w:p w14:paraId="3BBF8082">
      <w:pPr>
        <w:widowControl w:val="0"/>
        <w:spacing w:before="50"/>
        <w:jc w:val="both"/>
        <w:rPr>
          <w:rFonts w:ascii="Times New Roman" w:hAnsi="Times New Roman" w:cs="Times New Roman"/>
          <w:color w:val="auto"/>
        </w:rPr>
      </w:pPr>
    </w:p>
    <w:p w14:paraId="5C1B595E">
      <w:pPr>
        <w:widowControl w:val="0"/>
        <w:spacing w:before="50"/>
        <w:jc w:val="both"/>
        <w:rPr>
          <w:rFonts w:ascii="Times New Roman" w:hAnsi="Times New Roman" w:eastAsia="楷体" w:cs="Times New Roman"/>
          <w:bCs/>
          <w:color w:val="auto"/>
          <w:sz w:val="24"/>
          <w:szCs w:val="28"/>
          <w:lang w:bidi="ar"/>
        </w:rPr>
      </w:pPr>
      <w:r>
        <w:rPr>
          <w:rFonts w:ascii="Times New Roman" w:hAnsi="Times New Roman" w:eastAsia="楷体" w:cs="Times New Roman"/>
          <w:bCs/>
          <w:color w:val="auto"/>
          <w:sz w:val="24"/>
          <w:szCs w:val="28"/>
          <w:lang w:bidi="ar"/>
        </w:rPr>
        <w:t>By leveraging the core principles of engine operation, an analogous</w:t>
      </w:r>
      <w:r>
        <w:rPr>
          <w:rFonts w:hint="eastAsia" w:ascii="Times New Roman" w:hAnsi="Times New Roman" w:eastAsia="楷体" w:cs="Times New Roman"/>
          <w:bCs/>
          <w:color w:val="auto"/>
          <w:sz w:val="24"/>
          <w:szCs w:val="28"/>
          <w:lang w:bidi="ar"/>
        </w:rPr>
        <w:t xml:space="preserve"> three-dimensional </w:t>
      </w:r>
      <w:r>
        <w:rPr>
          <w:rFonts w:ascii="Times New Roman" w:hAnsi="Times New Roman" w:eastAsia="楷体" w:cs="Times New Roman"/>
          <w:bCs/>
          <w:color w:val="auto"/>
          <w:sz w:val="24"/>
          <w:szCs w:val="28"/>
          <w:lang w:bidi="ar"/>
        </w:rPr>
        <w:t>framework has been developed based on the formalization of the ecological productivity equation.</w:t>
      </w:r>
    </w:p>
    <w:p w14:paraId="2EB70005">
      <w:pPr>
        <w:widowControl w:val="0"/>
        <w:spacing w:before="50"/>
        <w:jc w:val="both"/>
        <w:rPr>
          <w:rFonts w:ascii="Times New Roman" w:hAnsi="Times New Roman" w:eastAsia="楷体" w:cs="Times New Roman"/>
          <w:color w:val="auto"/>
        </w:rPr>
      </w:pPr>
      <m:oMathPara>
        <m:oMath>
          <m:eqArr>
            <m:eqArrPr>
              <m:maxDist m:val="1"/>
              <m:ctrlPr>
                <w:rPr>
                  <w:rFonts w:ascii="Cambria Math" w:hAnsi="Cambria Math" w:cs="Times New Roman"/>
                  <w:i/>
                  <w:color w:val="auto"/>
                </w:rPr>
              </m:ctrlPr>
            </m:eqArrPr>
            <m:e>
              <m:r>
                <m:rPr/>
                <w:rPr>
                  <w:rFonts w:ascii="Cambria Math" w:hAnsi="Cambria Math" w:cs="Times New Roman"/>
                  <w:color w:val="auto"/>
                </w:rPr>
                <m:t>GPP=a×tℎe input of resoources×tℎe rate of resource relese×working time#2</m:t>
              </m:r>
              <m:ctrlPr>
                <w:rPr>
                  <w:rFonts w:ascii="Cambria Math" w:hAnsi="Cambria Math" w:cs="Times New Roman"/>
                  <w:i/>
                  <w:color w:val="auto"/>
                </w:rPr>
              </m:ctrlPr>
            </m:e>
          </m:eqArr>
        </m:oMath>
      </m:oMathPara>
    </w:p>
    <w:p w14:paraId="2BFE89AB">
      <w:pPr>
        <w:widowControl w:val="0"/>
        <w:spacing w:before="50"/>
        <w:jc w:val="both"/>
        <w:rPr>
          <w:rFonts w:ascii="Times New Roman" w:hAnsi="Times New Roman" w:eastAsia="楷体" w:cs="Times New Roman"/>
          <w:color w:val="auto"/>
        </w:rPr>
      </w:pPr>
      <w:r>
        <w:rPr>
          <w:rFonts w:ascii="Times New Roman" w:hAnsi="Times New Roman" w:eastAsia="楷体" w:cs="Times New Roman"/>
          <w:bCs/>
          <w:color w:val="auto"/>
          <w:sz w:val="24"/>
          <w:szCs w:val="28"/>
          <w:lang w:bidi="ar"/>
        </w:rPr>
        <w:t xml:space="preserve">In the context of a community, </w:t>
      </w:r>
      <m:oMath>
        <m:r>
          <m:rPr/>
          <w:rPr>
            <w:rFonts w:ascii="Cambria Math" w:hAnsi="Cambria Math" w:cs="Times New Roman"/>
            <w:color w:val="auto"/>
          </w:rPr>
          <m:t>tℎe input of resoources</m:t>
        </m:r>
      </m:oMath>
      <w:r>
        <w:rPr>
          <w:rFonts w:ascii="Times New Roman" w:hAnsi="Times New Roman" w:eastAsia="楷体" w:cs="Times New Roman"/>
          <w:bCs/>
          <w:color w:val="auto"/>
          <w:sz w:val="24"/>
          <w:szCs w:val="28"/>
          <w:lang w:bidi="ar"/>
        </w:rPr>
        <w:t xml:space="preserve"> is often determined by external factors such as radiation, precipitation, temperature</w:t>
      </w:r>
      <w:r>
        <w:rPr>
          <w:rFonts w:hint="eastAsia" w:ascii="Times New Roman" w:hAnsi="Times New Roman" w:eastAsia="楷体" w:cs="Times New Roman"/>
          <w:bCs/>
          <w:color w:val="auto"/>
          <w:sz w:val="24"/>
          <w:szCs w:val="28"/>
          <w:lang w:bidi="ar"/>
        </w:rPr>
        <w:t xml:space="preserve"> or soil properties</w:t>
      </w:r>
      <w:r>
        <w:rPr>
          <w:rFonts w:ascii="Times New Roman" w:hAnsi="Times New Roman" w:eastAsia="楷体" w:cs="Times New Roman"/>
          <w:bCs/>
          <w:color w:val="auto"/>
          <w:sz w:val="24"/>
          <w:szCs w:val="28"/>
          <w:lang w:bidi="ar"/>
        </w:rPr>
        <w:t xml:space="preserve">. Environmental factors, through their direct and indirect effects on the structure, composition, and functional traits of the entire plant community, play a crucial role in influencing GPP. </w:t>
      </w:r>
      <m:oMath>
        <m:r>
          <m:rPr/>
          <w:rPr>
            <w:rFonts w:ascii="Cambria Math" w:hAnsi="Cambria Math" w:cs="Times New Roman"/>
            <w:color w:val="auto"/>
          </w:rPr>
          <m:t>tℎe rate of resource relese</m:t>
        </m:r>
      </m:oMath>
      <w:r>
        <w:rPr>
          <w:rFonts w:ascii="Times New Roman" w:hAnsi="Times New Roman" w:eastAsia="楷体" w:cs="Times New Roman"/>
          <w:bCs/>
          <w:color w:val="auto"/>
          <w:sz w:val="24"/>
          <w:szCs w:val="28"/>
          <w:lang w:bidi="ar"/>
        </w:rPr>
        <w:t xml:space="preserve"> can be effectively characterized using Trait</w:t>
      </w:r>
      <w:r>
        <w:rPr>
          <w:rFonts w:ascii="Times New Roman" w:hAnsi="Times New Roman" w:eastAsia="楷体" w:cs="Times New Roman"/>
          <w:bCs/>
          <w:color w:val="auto"/>
          <w:sz w:val="24"/>
          <w:szCs w:val="28"/>
          <w:vertAlign w:val="subscript"/>
          <w:lang w:bidi="ar"/>
        </w:rPr>
        <w:t>density</w:t>
      </w:r>
      <w:r>
        <w:rPr>
          <w:rFonts w:ascii="Times New Roman" w:hAnsi="Times New Roman" w:eastAsia="楷体" w:cs="Times New Roman"/>
          <w:bCs/>
          <w:color w:val="auto"/>
          <w:sz w:val="24"/>
          <w:szCs w:val="28"/>
          <w:lang w:bidi="ar"/>
        </w:rPr>
        <w:t xml:space="preserve"> and Trait</w:t>
      </w:r>
      <w:r>
        <w:rPr>
          <w:rFonts w:ascii="Times New Roman" w:hAnsi="Times New Roman" w:eastAsia="楷体" w:cs="Times New Roman"/>
          <w:bCs/>
          <w:color w:val="auto"/>
          <w:sz w:val="24"/>
          <w:szCs w:val="28"/>
          <w:vertAlign w:val="subscript"/>
          <w:lang w:bidi="ar"/>
        </w:rPr>
        <w:t>efficiency.</w:t>
      </w:r>
      <w:r>
        <w:rPr>
          <w:rFonts w:ascii="Times New Roman" w:hAnsi="Times New Roman" w:eastAsia="楷体" w:cs="Times New Roman"/>
          <w:bCs/>
          <w:color w:val="auto"/>
          <w:sz w:val="24"/>
          <w:szCs w:val="28"/>
          <w:lang w:bidi="ar"/>
        </w:rPr>
        <w:t xml:space="preserve"> Trait</w:t>
      </w:r>
      <w:r>
        <w:rPr>
          <w:rFonts w:ascii="Times New Roman" w:hAnsi="Times New Roman" w:eastAsia="楷体" w:cs="Times New Roman"/>
          <w:bCs/>
          <w:color w:val="auto"/>
          <w:sz w:val="24"/>
          <w:szCs w:val="28"/>
          <w:vertAlign w:val="subscript"/>
          <w:lang w:bidi="ar"/>
        </w:rPr>
        <w:t>density</w:t>
      </w:r>
      <w:r>
        <w:rPr>
          <w:rFonts w:ascii="Times New Roman" w:hAnsi="Times New Roman" w:eastAsia="楷体" w:cs="Times New Roman"/>
          <w:bCs/>
          <w:color w:val="auto"/>
          <w:sz w:val="24"/>
          <w:szCs w:val="28"/>
          <w:lang w:bidi="ar"/>
        </w:rPr>
        <w:t>, a quantitative trait, reflects the amount of functional traits invested by the standardized community per unit land area to synthesize photosynthetic products. Trait</w:t>
      </w:r>
      <w:r>
        <w:rPr>
          <w:rFonts w:ascii="Times New Roman" w:hAnsi="Times New Roman" w:eastAsia="楷体" w:cs="Times New Roman"/>
          <w:bCs/>
          <w:color w:val="auto"/>
          <w:sz w:val="24"/>
          <w:szCs w:val="28"/>
          <w:vertAlign w:val="subscript"/>
          <w:lang w:bidi="ar"/>
        </w:rPr>
        <w:t>efficiency</w:t>
      </w:r>
      <w:r>
        <w:rPr>
          <w:rFonts w:ascii="Times New Roman" w:hAnsi="Times New Roman" w:eastAsia="楷体" w:cs="Times New Roman"/>
          <w:bCs/>
          <w:color w:val="auto"/>
          <w:sz w:val="24"/>
          <w:szCs w:val="28"/>
          <w:lang w:bidi="ar"/>
        </w:rPr>
        <w:t xml:space="preserve">, an efficiency trait, represents the efficiency with which the community can synthesize photosynthetic products per unit investment of functional traits. Together, they form a </w:t>
      </w:r>
      <w:r>
        <w:rPr>
          <w:rFonts w:hint="eastAsia" w:ascii="Times New Roman" w:hAnsi="Times New Roman" w:eastAsia="楷体" w:cs="Times New Roman"/>
          <w:bCs/>
          <w:color w:val="auto"/>
          <w:sz w:val="24"/>
          <w:szCs w:val="28"/>
          <w:lang w:bidi="ar"/>
        </w:rPr>
        <w:t>muti</w:t>
      </w:r>
      <w:r>
        <w:rPr>
          <w:rFonts w:ascii="Times New Roman" w:hAnsi="Times New Roman" w:eastAsia="楷体" w:cs="Times New Roman"/>
          <w:bCs/>
          <w:color w:val="auto"/>
          <w:sz w:val="24"/>
          <w:szCs w:val="28"/>
          <w:lang w:bidi="ar"/>
        </w:rPr>
        <w:t xml:space="preserve">-dimensional characteristic of functional traits. The concept of </w:t>
      </w:r>
      <m:oMath>
        <m:r>
          <m:rPr/>
          <w:rPr>
            <w:rFonts w:ascii="Cambria Math" w:hAnsi="Cambria Math" w:cs="Times New Roman"/>
            <w:color w:val="auto"/>
          </w:rPr>
          <m:t>working time</m:t>
        </m:r>
      </m:oMath>
      <w:r>
        <w:rPr>
          <w:rFonts w:ascii="Times New Roman" w:hAnsi="Times New Roman" w:eastAsia="楷体" w:cs="Times New Roman"/>
          <w:bCs/>
          <w:color w:val="auto"/>
          <w:sz w:val="24"/>
          <w:szCs w:val="28"/>
          <w:lang w:bidi="ar"/>
        </w:rPr>
        <w:t xml:space="preserve"> can be understood as the effective growth period for plants within a specific timeframe. Since plant growth typically occurs during the growing season, the length of the growing season can effectively represent the working time of plants.</w:t>
      </w:r>
      <w:r>
        <w:rPr>
          <w:rFonts w:hint="eastAsia" w:ascii="Times New Roman" w:hAnsi="Times New Roman" w:eastAsia="楷体" w:cs="Times New Roman"/>
          <w:bCs/>
          <w:color w:val="auto"/>
          <w:sz w:val="24"/>
          <w:szCs w:val="28"/>
          <w:lang w:bidi="ar"/>
        </w:rPr>
        <w:t xml:space="preserve"> </w:t>
      </w:r>
      <w:r>
        <w:rPr>
          <w:rFonts w:ascii="Times New Roman" w:hAnsi="Times New Roman" w:eastAsia="楷体" w:cs="Times New Roman"/>
          <w:bCs/>
          <w:color w:val="auto"/>
          <w:sz w:val="24"/>
          <w:lang w:bidi="ar"/>
        </w:rPr>
        <w:t>To improve the overall model, it is essential to introduce a constant (</w:t>
      </w:r>
      <m:oMath>
        <m:r>
          <m:rPr/>
          <w:rPr>
            <w:rFonts w:ascii="Cambria Math" w:hAnsi="Cambria Math" w:cs="Times New Roman"/>
            <w:color w:val="auto"/>
          </w:rPr>
          <m:t>a</m:t>
        </m:r>
      </m:oMath>
      <w:r>
        <w:rPr>
          <w:rFonts w:ascii="Times New Roman" w:hAnsi="Times New Roman" w:eastAsia="楷体" w:cs="Times New Roman"/>
          <w:bCs/>
          <w:color w:val="auto"/>
          <w:sz w:val="24"/>
          <w:lang w:bidi="ar"/>
        </w:rPr>
        <w:t>) for calibration and statistical normalization.</w:t>
      </w:r>
    </w:p>
    <w:p w14:paraId="077221C1">
      <w:pPr>
        <w:widowControl w:val="0"/>
        <w:spacing w:before="50"/>
        <w:jc w:val="both"/>
        <w:rPr>
          <w:rFonts w:ascii="Times New Roman" w:hAnsi="Times New Roman" w:cs="Times New Roman"/>
          <w:color w:val="auto"/>
        </w:rPr>
      </w:pPr>
    </w:p>
    <w:p w14:paraId="7EFAD781">
      <w:pPr>
        <w:widowControl w:val="0"/>
        <w:spacing w:before="50"/>
        <w:jc w:val="both"/>
        <w:rPr>
          <w:rFonts w:ascii="Times New Roman" w:hAnsi="Times New Roman" w:eastAsia="楷体" w:cs="Times New Roman"/>
          <w:bCs/>
          <w:color w:val="auto"/>
          <w:sz w:val="24"/>
          <w:szCs w:val="28"/>
          <w:lang w:bidi="ar"/>
        </w:rPr>
      </w:pPr>
      <w:r>
        <w:rPr>
          <w:rFonts w:ascii="Times New Roman" w:hAnsi="Times New Roman" w:eastAsia="楷体" w:cs="Times New Roman"/>
          <w:bCs/>
          <w:color w:val="auto"/>
          <w:sz w:val="24"/>
          <w:szCs w:val="28"/>
          <w:lang w:bidi="ar"/>
        </w:rPr>
        <w:t>In summary, drawing inspiration from the operational principles of an engine, we can analogously conceptualize GPP (GPP).</w:t>
      </w:r>
    </w:p>
    <w:p w14:paraId="617D0E36">
      <w:pPr>
        <w:widowControl w:val="0"/>
        <w:spacing w:before="50"/>
        <w:jc w:val="both"/>
        <w:rPr>
          <w:rFonts w:ascii="Times New Roman" w:hAnsi="Times New Roman" w:eastAsia="楷体" w:cs="Times New Roman"/>
          <w:bCs/>
          <w:color w:val="auto"/>
          <w:sz w:val="24"/>
          <w:szCs w:val="28"/>
          <w:lang w:bidi="ar"/>
        </w:rPr>
      </w:pPr>
      <m:oMathPara>
        <m:oMath>
          <m:eqArr>
            <m:eqArrPr>
              <m:maxDist m:val="1"/>
              <m:ctrlPr>
                <w:rPr>
                  <w:rFonts w:ascii="Cambria Math" w:hAnsi="Cambria Math" w:eastAsia="楷体" w:cs="Cambria Math"/>
                  <w:bCs/>
                  <w:i/>
                  <w:color w:val="auto"/>
                  <w:sz w:val="24"/>
                  <w:szCs w:val="28"/>
                  <w:lang w:bidi="ar"/>
                </w:rPr>
              </m:ctrlPr>
            </m:eqArrPr>
            <m:e>
              <m:r>
                <m:rPr>
                  <m:sty m:val="p"/>
                </m:rPr>
                <w:rPr>
                  <w:rFonts w:ascii="Cambria Math" w:hAnsi="Cambria Math" w:eastAsia="楷体" w:cs="Times New Roman"/>
                  <w:color w:val="auto"/>
                  <w:sz w:val="24"/>
                  <w:szCs w:val="28"/>
                  <w:lang w:bidi="ar"/>
                </w:rPr>
                <m:t>GPP=a</m:t>
              </m:r>
              <m:r>
                <m:rPr>
                  <m:sty m:val="p"/>
                </m:rPr>
                <w:rPr>
                  <w:rFonts w:ascii="Cambria Math" w:hAnsi="Cambria Math" w:eastAsia="楷体" w:cs="Cambria Math"/>
                  <w:color w:val="auto"/>
                  <w:sz w:val="24"/>
                  <w:szCs w:val="28"/>
                  <w:lang w:bidi="ar"/>
                </w:rPr>
                <m:t>×</m:t>
              </m:r>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E</m:t>
                  </m:r>
                  <m:ctrlPr>
                    <w:rPr>
                      <w:rFonts w:ascii="Cambria Math" w:hAnsi="Cambria Math" w:eastAsia="楷体" w:cs="Cambria Math"/>
                      <w:bCs/>
                      <w:color w:val="auto"/>
                      <w:sz w:val="24"/>
                      <w:szCs w:val="28"/>
                      <w:lang w:bidi="ar"/>
                    </w:rPr>
                  </m:ctrlPr>
                </m:e>
                <m:sub>
                  <m:r>
                    <m:rPr>
                      <m:sty m:val="p"/>
                    </m:rPr>
                    <w:rPr>
                      <w:rFonts w:hint="eastAsia" w:ascii="Cambria Math" w:hAnsi="Cambria Math" w:eastAsia="楷体" w:cs="Cambria Math"/>
                      <w:color w:val="auto"/>
                      <w:sz w:val="24"/>
                      <w:szCs w:val="28"/>
                      <w:lang w:bidi="ar"/>
                    </w:rPr>
                    <m:t>i</m:t>
                  </m:r>
                  <m:ctrlPr>
                    <w:rPr>
                      <w:rFonts w:ascii="Cambria Math" w:hAnsi="Cambria Math" w:eastAsia="楷体" w:cs="Cambria Math"/>
                      <w:bCs/>
                      <w:color w:val="auto"/>
                      <w:sz w:val="24"/>
                      <w:szCs w:val="28"/>
                      <w:lang w:bidi="ar"/>
                    </w:rPr>
                  </m:ctrlPr>
                </m:sub>
              </m:sSub>
              <m:r>
                <m:rPr>
                  <m:sty m:val="p"/>
                </m:rPr>
                <w:rPr>
                  <w:rFonts w:ascii="Cambria Math" w:hAnsi="Cambria Math" w:eastAsia="楷体" w:cs="Cambria Math"/>
                  <w:color w:val="auto"/>
                  <w:sz w:val="24"/>
                  <w:szCs w:val="28"/>
                  <w:lang w:bidi="ar"/>
                </w:rPr>
                <m:t>×</m:t>
              </m:r>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density</m:t>
                  </m:r>
                  <m:ctrlPr>
                    <w:rPr>
                      <w:rFonts w:ascii="Cambria Math" w:hAnsi="Cambria Math" w:eastAsia="楷体" w:cs="Cambria Math"/>
                      <w:bCs/>
                      <w:color w:val="auto"/>
                      <w:sz w:val="24"/>
                      <w:szCs w:val="28"/>
                      <w:lang w:bidi="ar"/>
                    </w:rPr>
                  </m:ctrlPr>
                </m:sub>
              </m:sSub>
              <m:r>
                <m:rPr>
                  <m:sty m:val="p"/>
                </m:rPr>
                <w:rPr>
                  <w:rFonts w:ascii="Cambria Math" w:hAnsi="Cambria Math" w:eastAsia="楷体" w:cs="Cambria Math"/>
                  <w:color w:val="auto"/>
                  <w:sz w:val="24"/>
                  <w:szCs w:val="28"/>
                  <w:lang w:bidi="ar"/>
                </w:rPr>
                <m:t>×</m:t>
              </m:r>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efficiency</m:t>
                  </m:r>
                  <m:ctrlPr>
                    <w:rPr>
                      <w:rFonts w:ascii="Cambria Math" w:hAnsi="Cambria Math" w:eastAsia="楷体" w:cs="Cambria Math"/>
                      <w:bCs/>
                      <w:color w:val="auto"/>
                      <w:sz w:val="24"/>
                      <w:szCs w:val="28"/>
                      <w:lang w:bidi="ar"/>
                    </w:rPr>
                  </m:ctrlPr>
                </m:sub>
              </m:sSub>
              <m:r>
                <m:rPr>
                  <m:sty m:val="p"/>
                </m:rPr>
                <w:rPr>
                  <w:rFonts w:ascii="Cambria Math" w:hAnsi="Cambria Math" w:eastAsia="楷体" w:cs="Cambria Math"/>
                  <w:color w:val="auto"/>
                  <w:sz w:val="24"/>
                  <w:szCs w:val="28"/>
                  <w:lang w:bidi="ar"/>
                </w:rPr>
                <m:t>×</m:t>
              </m:r>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L</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gs</m:t>
                  </m:r>
                  <m:ctrlPr>
                    <w:rPr>
                      <w:rFonts w:ascii="Cambria Math" w:hAnsi="Cambria Math" w:eastAsia="楷体" w:cs="Cambria Math"/>
                      <w:bCs/>
                      <w:color w:val="auto"/>
                      <w:sz w:val="24"/>
                      <w:szCs w:val="28"/>
                      <w:lang w:bidi="ar"/>
                    </w:rPr>
                  </m:ctrlPr>
                </m:sub>
              </m:sSub>
              <m:r>
                <m:rPr/>
                <w:rPr>
                  <w:rFonts w:ascii="Cambria Math" w:hAnsi="Cambria Math" w:eastAsia="楷体" w:cs="Times New Roman"/>
                  <w:color w:val="auto"/>
                  <w:sz w:val="24"/>
                  <w:szCs w:val="28"/>
                  <w:lang w:bidi="ar"/>
                </w:rPr>
                <m:t>#</m:t>
              </m:r>
              <m:r>
                <m:rPr/>
                <w:rPr>
                  <w:rFonts w:ascii="Cambria Math" w:hAnsi="Cambria Math" w:eastAsia="楷体" w:cs="Cambria Math"/>
                  <w:color w:val="auto"/>
                  <w:sz w:val="24"/>
                  <w:szCs w:val="28"/>
                  <w:lang w:bidi="ar"/>
                </w:rPr>
                <m:t>3</m:t>
              </m:r>
              <m:ctrlPr>
                <w:rPr>
                  <w:rFonts w:ascii="Cambria Math" w:hAnsi="Cambria Math" w:eastAsia="楷体" w:cs="Cambria Math"/>
                  <w:bCs/>
                  <w:i/>
                  <w:color w:val="auto"/>
                  <w:sz w:val="24"/>
                  <w:szCs w:val="28"/>
                  <w:lang w:bidi="ar"/>
                </w:rPr>
              </m:ctrlPr>
            </m:e>
          </m:eqArr>
        </m:oMath>
      </m:oMathPara>
    </w:p>
    <w:p w14:paraId="797FA5AB">
      <w:pPr>
        <w:widowControl w:val="0"/>
        <w:spacing w:before="50"/>
        <w:jc w:val="both"/>
        <w:rPr>
          <w:rFonts w:ascii="Times New Roman" w:hAnsi="Times New Roman" w:cs="Times New Roman"/>
          <w:color w:val="auto"/>
        </w:rPr>
      </w:pPr>
      <w:r>
        <w:rPr>
          <w:rFonts w:ascii="Times New Roman" w:hAnsi="Times New Roman" w:eastAsia="楷体" w:cs="Times New Roman"/>
          <w:bCs/>
          <w:color w:val="auto"/>
          <w:position w:val="-6"/>
          <w:sz w:val="24"/>
          <w:szCs w:val="28"/>
          <w:lang w:bidi="ar"/>
        </w:rPr>
        <w:drawing>
          <wp:inline distT="0" distB="0" distL="114300" distR="114300">
            <wp:extent cx="130810" cy="212090"/>
            <wp:effectExtent l="0" t="0" r="9525" b="571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4">
                      <a:clrChange>
                        <a:clrFrom>
                          <a:srgbClr val="FFFFFF"/>
                        </a:clrFrom>
                        <a:clrTo>
                          <a:srgbClr val="FFFFFF">
                            <a:alpha val="0"/>
                          </a:srgbClr>
                        </a:clrTo>
                      </a:clrChange>
                    </a:blip>
                    <a:stretch>
                      <a:fillRect/>
                    </a:stretch>
                  </pic:blipFill>
                  <pic:spPr>
                    <a:xfrm>
                      <a:off x="0" y="0"/>
                      <a:ext cx="130810" cy="212090"/>
                    </a:xfrm>
                    <a:prstGeom prst="rect">
                      <a:avLst/>
                    </a:prstGeom>
                    <a:noFill/>
                    <a:ln>
                      <a:noFill/>
                    </a:ln>
                  </pic:spPr>
                </pic:pic>
              </a:graphicData>
            </a:graphic>
          </wp:inline>
        </w:drawing>
      </w:r>
      <w:r>
        <w:rPr>
          <w:rFonts w:ascii="Times New Roman" w:hAnsi="Times New Roman" w:eastAsia="楷体" w:cs="Times New Roman"/>
          <w:bCs/>
          <w:color w:val="auto"/>
          <w:sz w:val="24"/>
          <w:szCs w:val="28"/>
          <w:lang w:bidi="ar"/>
        </w:rPr>
        <w:t xml:space="preserve"> refers to the input of energy, often quantified using environmental data such as radiation, temperature, precipitation</w:t>
      </w:r>
      <w:r>
        <w:rPr>
          <w:rFonts w:hint="eastAsia" w:ascii="Times New Roman" w:hAnsi="Times New Roman" w:eastAsia="楷体" w:cs="Times New Roman"/>
          <w:bCs/>
          <w:color w:val="auto"/>
          <w:sz w:val="24"/>
          <w:szCs w:val="28"/>
          <w:lang w:bidi="ar"/>
        </w:rPr>
        <w:t>, or soil properties</w:t>
      </w:r>
      <w:r>
        <w:rPr>
          <w:rFonts w:ascii="Times New Roman" w:hAnsi="Times New Roman" w:eastAsia="楷体" w:cs="Times New Roman"/>
          <w:bCs/>
          <w:color w:val="auto"/>
          <w:sz w:val="24"/>
          <w:szCs w:val="28"/>
          <w:lang w:bidi="ar"/>
        </w:rPr>
        <w:t>.</w:t>
      </w:r>
      <w:r>
        <w:rPr>
          <w:rFonts w:hint="eastAsia" w:ascii="Times New Roman" w:hAnsi="Times New Roman" w:eastAsia="楷体" w:cs="Times New Roman"/>
          <w:bCs/>
          <w:color w:val="auto"/>
          <w:sz w:val="24"/>
          <w:szCs w:val="28"/>
          <w:lang w:bidi="ar"/>
        </w:rPr>
        <w:t xml:space="preserve"> </w:t>
      </w:r>
      <w:r>
        <w:rPr>
          <w:rFonts w:ascii="Times New Roman" w:hAnsi="Times New Roman" w:eastAsia="楷体" w:cs="Times New Roman"/>
          <w:bCs/>
          <w:color w:val="auto"/>
          <w:sz w:val="24"/>
          <w:szCs w:val="28"/>
          <w:lang w:bidi="ar"/>
        </w:rPr>
        <w:t xml:space="preserve">In this study,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E</m:t>
            </m:r>
            <m:ctrlPr>
              <w:rPr>
                <w:rFonts w:ascii="Cambria Math" w:hAnsi="Cambria Math" w:eastAsia="楷体" w:cs="Cambria Math"/>
                <w:bCs/>
                <w:color w:val="auto"/>
                <w:sz w:val="24"/>
                <w:szCs w:val="28"/>
                <w:lang w:bidi="ar"/>
              </w:rPr>
            </m:ctrlPr>
          </m:e>
          <m:sub>
            <m:r>
              <m:rPr>
                <m:sty m:val="p"/>
              </m:rPr>
              <w:rPr>
                <w:rFonts w:hint="eastAsia" w:ascii="Cambria Math" w:hAnsi="Cambria Math" w:eastAsia="楷体" w:cs="Cambria Math"/>
                <w:color w:val="auto"/>
                <w:sz w:val="24"/>
                <w:szCs w:val="28"/>
                <w:lang w:bidi="ar"/>
              </w:rPr>
              <m:t>i</m:t>
            </m:r>
            <m:ctrlPr>
              <w:rPr>
                <w:rFonts w:ascii="Cambria Math" w:hAnsi="Cambria Math" w:eastAsia="楷体" w:cs="Cambria Math"/>
                <w:bCs/>
                <w:color w:val="auto"/>
                <w:sz w:val="24"/>
                <w:szCs w:val="28"/>
                <w:lang w:bidi="ar"/>
              </w:rPr>
            </m:ctrlPr>
          </m:sub>
        </m:sSub>
      </m:oMath>
      <w:r>
        <w:rPr>
          <w:rFonts w:ascii="Times New Roman" w:hAnsi="Times New Roman" w:eastAsia="楷体" w:cs="Times New Roman"/>
          <w:bCs/>
          <w:color w:val="auto"/>
          <w:sz w:val="24"/>
          <w:szCs w:val="28"/>
          <w:lang w:bidi="ar"/>
        </w:rPr>
        <w:t xml:space="preserve"> can be input in two distinct ways. The first approach involves E</w:t>
      </w:r>
      <w:r>
        <w:rPr>
          <w:rFonts w:ascii="Times New Roman" w:hAnsi="Times New Roman" w:eastAsia="楷体" w:cs="Times New Roman"/>
          <w:bCs/>
          <w:color w:val="auto"/>
          <w:sz w:val="24"/>
          <w:szCs w:val="28"/>
          <w:vertAlign w:val="subscript"/>
          <w:lang w:bidi="ar"/>
        </w:rPr>
        <w:t>i</w:t>
      </w:r>
      <w:r>
        <w:rPr>
          <w:rFonts w:ascii="Times New Roman" w:hAnsi="Times New Roman" w:eastAsia="楷体" w:cs="Times New Roman"/>
          <w:bCs/>
          <w:color w:val="auto"/>
          <w:sz w:val="24"/>
          <w:szCs w:val="28"/>
          <w:lang w:bidi="ar"/>
        </w:rPr>
        <w:t xml:space="preserve"> after dimensionality reduction of all environmental factors, including soil parameters (soil N content, soil organic matter content, soil pH), temperature (annual mean temperature</w:t>
      </w:r>
      <w:r>
        <w:rPr>
          <w:rFonts w:hint="eastAsia" w:ascii="Times New Roman" w:hAnsi="Times New Roman" w:eastAsia="楷体" w:cs="Times New Roman"/>
          <w:bCs/>
          <w:color w:val="auto"/>
          <w:sz w:val="24"/>
          <w:szCs w:val="28"/>
          <w:lang w:bidi="ar"/>
        </w:rPr>
        <w:t>, MAT</w:t>
      </w:r>
      <w:r>
        <w:rPr>
          <w:rFonts w:ascii="Times New Roman" w:hAnsi="Times New Roman" w:eastAsia="楷体" w:cs="Times New Roman"/>
          <w:bCs/>
          <w:color w:val="auto"/>
          <w:sz w:val="24"/>
          <w:szCs w:val="28"/>
          <w:lang w:bidi="ar"/>
        </w:rPr>
        <w:t>), precipitation (annual total precipitation</w:t>
      </w:r>
      <w:r>
        <w:rPr>
          <w:rFonts w:hint="eastAsia" w:ascii="Times New Roman" w:hAnsi="Times New Roman" w:eastAsia="楷体" w:cs="Times New Roman"/>
          <w:bCs/>
          <w:color w:val="auto"/>
          <w:sz w:val="24"/>
          <w:szCs w:val="28"/>
          <w:lang w:bidi="ar"/>
        </w:rPr>
        <w:t>, MAP</w:t>
      </w:r>
      <w:r>
        <w:rPr>
          <w:rFonts w:ascii="Times New Roman" w:hAnsi="Times New Roman" w:eastAsia="楷体" w:cs="Times New Roman"/>
          <w:bCs/>
          <w:color w:val="auto"/>
          <w:sz w:val="24"/>
          <w:szCs w:val="28"/>
          <w:lang w:bidi="ar"/>
        </w:rPr>
        <w:t>), radiation (solar radiation, photosynthetically active radiation, ultraviolet radiation), oxygen partial pressure (PO</w:t>
      </w:r>
      <w:r>
        <w:rPr>
          <w:rFonts w:ascii="Times New Roman" w:hAnsi="Times New Roman" w:eastAsia="楷体" w:cs="Times New Roman"/>
          <w:bCs/>
          <w:color w:val="auto"/>
          <w:sz w:val="24"/>
          <w:szCs w:val="28"/>
          <w:vertAlign w:val="subscript"/>
          <w:lang w:bidi="ar"/>
        </w:rPr>
        <w:t>2</w:t>
      </w:r>
      <w:r>
        <w:rPr>
          <w:rFonts w:ascii="Times New Roman" w:hAnsi="Times New Roman" w:eastAsia="楷体" w:cs="Times New Roman"/>
          <w:bCs/>
          <w:color w:val="auto"/>
          <w:sz w:val="24"/>
          <w:szCs w:val="28"/>
          <w:lang w:bidi="ar"/>
        </w:rPr>
        <w:t>)</w:t>
      </w:r>
      <w:r>
        <w:rPr>
          <w:rFonts w:hint="eastAsia" w:ascii="Times New Roman" w:hAnsi="Times New Roman" w:eastAsia="楷体" w:cs="Times New Roman"/>
          <w:bCs/>
          <w:color w:val="auto"/>
          <w:sz w:val="24"/>
          <w:szCs w:val="28"/>
          <w:lang w:bidi="ar"/>
        </w:rPr>
        <w:t xml:space="preserve"> and so on</w:t>
      </w:r>
      <w:r>
        <w:rPr>
          <w:rFonts w:ascii="Times New Roman" w:hAnsi="Times New Roman" w:eastAsia="楷体" w:cs="Times New Roman"/>
          <w:bCs/>
          <w:color w:val="auto"/>
          <w:sz w:val="24"/>
          <w:szCs w:val="28"/>
          <w:lang w:bidi="ar"/>
        </w:rPr>
        <w:t>. The second approach inputs a separate value for the climate factor, MAT</w:t>
      </w:r>
      <w:r>
        <w:rPr>
          <w:rFonts w:hint="eastAsia" w:ascii="Times New Roman" w:hAnsi="Times New Roman" w:eastAsia="楷体" w:cs="Times New Roman"/>
          <w:bCs/>
          <w:color w:val="auto"/>
          <w:sz w:val="24"/>
          <w:szCs w:val="28"/>
          <w:lang w:bidi="ar"/>
        </w:rPr>
        <w:t xml:space="preserve"> or MAP</w:t>
      </w:r>
      <w:r>
        <w:rPr>
          <w:rFonts w:ascii="Times New Roman" w:hAnsi="Times New Roman" w:eastAsia="楷体" w:cs="Times New Roman"/>
          <w:bCs/>
          <w:color w:val="auto"/>
          <w:sz w:val="24"/>
          <w:szCs w:val="28"/>
          <w:lang w:bidi="ar"/>
        </w:rPr>
        <w:t xml:space="preserve">. These two input models are compared to assess how different energy input factors influence the predictive performance of the entire "engine" framework.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density</m:t>
            </m:r>
            <m:ctrlPr>
              <w:rPr>
                <w:rFonts w:ascii="Cambria Math" w:hAnsi="Cambria Math" w:eastAsia="楷体" w:cs="Cambria Math"/>
                <w:bCs/>
                <w:color w:val="auto"/>
                <w:sz w:val="24"/>
                <w:szCs w:val="28"/>
                <w:lang w:bidi="ar"/>
              </w:rPr>
            </m:ctrlPr>
          </m:sub>
        </m:sSub>
      </m:oMath>
      <w:r>
        <w:rPr>
          <w:rFonts w:ascii="Times New Roman" w:hAnsi="Times New Roman" w:eastAsia="楷体" w:cs="Times New Roman"/>
          <w:bCs/>
          <w:color w:val="auto"/>
          <w:sz w:val="24"/>
          <w:szCs w:val="28"/>
          <w:lang w:bidi="ar"/>
        </w:rPr>
        <w:t xml:space="preserve"> and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efficiency</m:t>
            </m:r>
            <m:ctrlPr>
              <w:rPr>
                <w:rFonts w:ascii="Cambria Math" w:hAnsi="Cambria Math" w:eastAsia="楷体" w:cs="Cambria Math"/>
                <w:bCs/>
                <w:color w:val="auto"/>
                <w:sz w:val="24"/>
                <w:szCs w:val="28"/>
                <w:lang w:bidi="ar"/>
              </w:rPr>
            </m:ctrlPr>
          </m:sub>
        </m:sSub>
      </m:oMath>
      <w:r>
        <w:rPr>
          <w:rFonts w:ascii="Times New Roman" w:hAnsi="Times New Roman" w:eastAsia="楷体" w:cs="Times New Roman"/>
          <w:bCs/>
          <w:color w:val="auto"/>
          <w:sz w:val="24"/>
          <w:szCs w:val="28"/>
          <w:lang w:bidi="ar"/>
        </w:rPr>
        <w:t xml:space="preserve"> signify the quantity and efficiency of functional traits invested per unit area in synthesizing photosynthetic products.</w:t>
      </w:r>
      <w:r>
        <w:rPr>
          <w:rFonts w:hint="eastAsia" w:ascii="Times New Roman" w:hAnsi="Times New Roman" w:eastAsia="楷体" w:cs="Times New Roman"/>
          <w:bCs/>
          <w:color w:val="auto"/>
          <w:sz w:val="24"/>
          <w:szCs w:val="28"/>
          <w:lang w:bidi="ar"/>
        </w:rPr>
        <w:t xml:space="preserve"> In this paper, the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density</m:t>
            </m:r>
            <m:ctrlPr>
              <w:rPr>
                <w:rFonts w:ascii="Cambria Math" w:hAnsi="Cambria Math" w:eastAsia="楷体" w:cs="Cambria Math"/>
                <w:bCs/>
                <w:color w:val="auto"/>
                <w:sz w:val="24"/>
                <w:szCs w:val="28"/>
                <w:lang w:bidi="ar"/>
              </w:rPr>
            </m:ctrlPr>
          </m:sub>
        </m:sSub>
      </m:oMath>
      <w:r>
        <w:rPr>
          <w:rFonts w:hint="eastAsia" w:ascii="Times New Roman" w:hAnsi="Times New Roman" w:eastAsia="楷体" w:cs="Times New Roman"/>
          <w:bCs/>
          <w:color w:val="auto"/>
          <w:sz w:val="24"/>
          <w:szCs w:val="28"/>
          <w:lang w:bidi="ar"/>
        </w:rPr>
        <w:t xml:space="preserve"> and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Trait</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efficiency</m:t>
            </m:r>
            <m:ctrlPr>
              <w:rPr>
                <w:rFonts w:ascii="Cambria Math" w:hAnsi="Cambria Math" w:eastAsia="楷体" w:cs="Cambria Math"/>
                <w:bCs/>
                <w:color w:val="auto"/>
                <w:sz w:val="24"/>
                <w:szCs w:val="28"/>
                <w:lang w:bidi="ar"/>
              </w:rPr>
            </m:ctrlPr>
          </m:sub>
        </m:sSub>
        <m:r>
          <m:rPr/>
          <w:rPr>
            <w:rFonts w:ascii="Cambria Math" w:hAnsi="Cambria Math" w:eastAsia="楷体" w:cs="Cambria Math"/>
            <w:color w:val="auto"/>
            <w:sz w:val="24"/>
            <w:szCs w:val="28"/>
            <w:lang w:bidi="ar"/>
          </w:rPr>
          <m:t xml:space="preserve"> </m:t>
        </m:r>
      </m:oMath>
      <w:r>
        <w:rPr>
          <w:rFonts w:hint="eastAsia" w:ascii="Times New Roman" w:hAnsi="Times New Roman" w:eastAsia="楷体" w:cs="Times New Roman"/>
          <w:bCs/>
          <w:color w:val="auto"/>
          <w:sz w:val="24"/>
          <w:szCs w:val="28"/>
          <w:lang w:bidi="ar"/>
        </w:rPr>
        <w:t>of nitrogen and phosphorus are mainly represented (Fig. S5).</w:t>
      </w:r>
      <w:r>
        <w:rPr>
          <w:rFonts w:ascii="Times New Roman" w:hAnsi="Times New Roman" w:eastAsia="楷体" w:cs="Times New Roman"/>
          <w:bCs/>
          <w:color w:val="auto"/>
          <w:sz w:val="24"/>
          <w:szCs w:val="28"/>
          <w:lang w:bidi="ar"/>
        </w:rPr>
        <w:t xml:space="preserve"> </w:t>
      </w:r>
      <m:oMath>
        <m:sSub>
          <m:sSubPr>
            <m:ctrlPr>
              <w:rPr>
                <w:rFonts w:ascii="Cambria Math" w:hAnsi="Cambria Math" w:eastAsia="楷体" w:cs="Cambria Math"/>
                <w:bCs/>
                <w:color w:val="auto"/>
                <w:sz w:val="24"/>
                <w:szCs w:val="28"/>
                <w:lang w:bidi="ar"/>
              </w:rPr>
            </m:ctrlPr>
          </m:sSubPr>
          <m:e>
            <m:r>
              <m:rPr>
                <m:sty m:val="p"/>
              </m:rPr>
              <w:rPr>
                <w:rFonts w:ascii="Cambria Math" w:hAnsi="Cambria Math" w:eastAsia="楷体" w:cs="Cambria Math"/>
                <w:color w:val="auto"/>
                <w:sz w:val="24"/>
                <w:szCs w:val="28"/>
                <w:lang w:bidi="ar"/>
              </w:rPr>
              <m:t>L</m:t>
            </m:r>
            <m:ctrlPr>
              <w:rPr>
                <w:rFonts w:ascii="Cambria Math" w:hAnsi="Cambria Math" w:eastAsia="楷体" w:cs="Cambria Math"/>
                <w:bCs/>
                <w:color w:val="auto"/>
                <w:sz w:val="24"/>
                <w:szCs w:val="28"/>
                <w:lang w:bidi="ar"/>
              </w:rPr>
            </m:ctrlPr>
          </m:e>
          <m:sub>
            <m:r>
              <m:rPr>
                <m:sty m:val="p"/>
              </m:rPr>
              <w:rPr>
                <w:rFonts w:ascii="Cambria Math" w:hAnsi="Cambria Math" w:eastAsia="楷体" w:cs="Cambria Math"/>
                <w:color w:val="auto"/>
                <w:sz w:val="24"/>
                <w:szCs w:val="28"/>
                <w:lang w:bidi="ar"/>
              </w:rPr>
              <m:t>gs</m:t>
            </m:r>
            <m:ctrlPr>
              <w:rPr>
                <w:rFonts w:ascii="Cambria Math" w:hAnsi="Cambria Math" w:eastAsia="楷体" w:cs="Cambria Math"/>
                <w:bCs/>
                <w:color w:val="auto"/>
                <w:sz w:val="24"/>
                <w:szCs w:val="28"/>
                <w:lang w:bidi="ar"/>
              </w:rPr>
            </m:ctrlPr>
          </m:sub>
        </m:sSub>
      </m:oMath>
      <w:r>
        <w:rPr>
          <w:rFonts w:ascii="Times New Roman" w:hAnsi="Times New Roman" w:eastAsia="楷体" w:cs="Times New Roman"/>
          <w:bCs/>
          <w:color w:val="auto"/>
          <w:sz w:val="24"/>
          <w:szCs w:val="28"/>
          <w:lang w:bidi="ar"/>
        </w:rPr>
        <w:t xml:space="preserve"> denotes the length of the growing season.</w:t>
      </w:r>
      <w:r>
        <w:rPr>
          <w:rFonts w:ascii="Times New Roman" w:hAnsi="Times New Roman" w:eastAsia="楷体" w:cs="Times New Roman"/>
          <w:bCs/>
          <w:color w:val="auto"/>
          <w:sz w:val="24"/>
          <w:lang w:bidi="ar"/>
        </w:rPr>
        <w:t xml:space="preserve"> </w:t>
      </w:r>
      <m:oMath>
        <m:r>
          <m:rPr>
            <m:sty m:val="p"/>
          </m:rPr>
          <w:rPr>
            <w:rFonts w:ascii="Cambria Math" w:hAnsi="Cambria Math" w:eastAsia="楷体" w:cs="Times New Roman"/>
            <w:color w:val="auto"/>
            <w:sz w:val="24"/>
            <w:szCs w:val="28"/>
            <w:lang w:bidi="ar"/>
          </w:rPr>
          <m:t>a</m:t>
        </m:r>
      </m:oMath>
      <w:r>
        <w:rPr>
          <w:rFonts w:ascii="Times New Roman" w:hAnsi="Times New Roman" w:cs="Times New Roman"/>
          <w:color w:val="auto"/>
        </w:rPr>
        <w:t xml:space="preserve"> is a </w:t>
      </w:r>
      <w:r>
        <w:rPr>
          <w:rFonts w:ascii="Times New Roman" w:hAnsi="Times New Roman" w:eastAsia="楷体" w:cs="Times New Roman"/>
          <w:bCs/>
          <w:color w:val="auto"/>
          <w:sz w:val="24"/>
          <w:lang w:bidi="ar"/>
        </w:rPr>
        <w:t>constant for calibration and statistical normalization.</w:t>
      </w:r>
    </w:p>
    <w:p w14:paraId="64C131F7">
      <w:pPr>
        <w:rPr>
          <w:rFonts w:ascii="Times New Roman" w:hAnsi="Times New Roman" w:eastAsia="宋体" w:cs="Times New Roman"/>
          <w:b/>
          <w:bCs/>
          <w:color w:val="auto"/>
          <w:kern w:val="0"/>
          <w:sz w:val="24"/>
        </w:rPr>
        <w:sectPr>
          <w:pgSz w:w="11906" w:h="16838"/>
          <w:pgMar w:top="1417" w:right="1417" w:bottom="1417" w:left="1417" w:header="851" w:footer="992" w:gutter="0"/>
          <w:cols w:space="0" w:num="1"/>
          <w:docGrid w:type="lines" w:linePitch="312" w:charSpace="0"/>
        </w:sectPr>
      </w:pPr>
      <w:r>
        <w:rPr>
          <w:rFonts w:ascii="Times New Roman" w:hAnsi="Times New Roman" w:cs="Times New Roman"/>
          <w:color w:val="auto"/>
        </w:rPr>
        <w:br w:type="page"/>
      </w:r>
      <w:bookmarkEnd w:id="1"/>
    </w:p>
    <w:p w14:paraId="103B91F3">
      <w:pPr>
        <w:pStyle w:val="6"/>
        <w:widowControl/>
        <w:spacing w:line="360" w:lineRule="auto"/>
        <w:jc w:val="both"/>
        <w:rPr>
          <w:rFonts w:hint="default" w:ascii="Times New Roman" w:hAnsi="Times New Roman" w:eastAsia="楷体"/>
          <w:b/>
          <w:bCs/>
          <w:color w:val="auto"/>
          <w:shd w:val="clear" w:color="auto" w:fill="FFFFFF"/>
        </w:rPr>
      </w:pPr>
      <w:r>
        <w:rPr>
          <w:rFonts w:ascii="Times New Roman" w:hAnsi="Times New Roman" w:eastAsia="楷体"/>
          <w:b/>
          <w:bCs/>
          <w:color w:val="auto"/>
          <w:shd w:val="clear" w:color="auto" w:fill="FFFFFF"/>
        </w:rPr>
        <w:t>Text S2 Biomass calculation methods</w:t>
      </w:r>
    </w:p>
    <w:p w14:paraId="709B0B47">
      <w:pPr>
        <w:pStyle w:val="6"/>
        <w:widowControl/>
        <w:spacing w:line="360" w:lineRule="auto"/>
        <w:jc w:val="both"/>
        <w:rPr>
          <w:rFonts w:hint="default" w:ascii="Times New Roman" w:hAnsi="Times New Roman" w:eastAsia="楷体"/>
          <w:color w:val="auto"/>
          <w:shd w:val="clear" w:color="auto" w:fill="FFFFFF"/>
        </w:rPr>
      </w:pPr>
      <w:r>
        <w:rPr>
          <w:rFonts w:hint="default" w:ascii="Times New Roman" w:hAnsi="Times New Roman" w:eastAsia="楷体"/>
          <w:color w:val="auto"/>
          <w:shd w:val="clear" w:color="auto" w:fill="FFFFFF"/>
        </w:rPr>
        <w:t>The biomass of herb is obtained by actual field sampling and weighing.</w:t>
      </w:r>
    </w:p>
    <w:p w14:paraId="5CB6FAEE">
      <w:pPr>
        <w:pStyle w:val="6"/>
        <w:widowControl/>
        <w:spacing w:line="360" w:lineRule="auto"/>
        <w:jc w:val="both"/>
        <w:rPr>
          <w:rFonts w:hint="default" w:ascii="Times New Roman" w:hAnsi="Times New Roman" w:eastAsia="楷体"/>
          <w:color w:val="auto"/>
          <w:shd w:val="clear" w:color="auto" w:fill="FFFFFF"/>
        </w:rPr>
      </w:pPr>
      <w:r>
        <w:rPr>
          <w:rFonts w:hint="default" w:ascii="Times New Roman" w:hAnsi="Times New Roman" w:eastAsia="楷体"/>
          <w:color w:val="auto"/>
          <w:shd w:val="clear" w:color="auto" w:fill="FFFFFF"/>
        </w:rPr>
        <w:t xml:space="preserve">The biomass of trees and shrubs is obtained by biomass equation modeling ((based on species name, diameter at breast height and height data obtained from the field survey), the supplementary Table S8 in </w:t>
      </w:r>
      <w:r>
        <w:rPr>
          <w:rFonts w:hint="default" w:ascii="Times New Roman" w:hAnsi="Times New Roman" w:eastAsia="楷体"/>
          <w:color w:val="auto"/>
          <w:shd w:val="clear" w:color="auto" w:fill="FFFFFF"/>
        </w:rPr>
        <w:fldChar w:fldCharType="begin">
          <w:fldData xml:space="preserve">PEVuZE5vdGU+PENpdGU+PEF1dGhvcj5XYW5nPC9BdXRob3I+PFllYXI+MjAxNTwvWWVhcj48UmVj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</w:fldData>
        </w:fldChar>
      </w:r>
      <w:r>
        <w:rPr>
          <w:rFonts w:ascii="Times New Roman" w:hAnsi="Times New Roman" w:eastAsia="楷体"/>
          <w:color w:val="auto"/>
          <w:shd w:val="clear" w:color="auto" w:fill="FFFFFF"/>
        </w:rPr>
        <w:instrText xml:space="preserve"> ADDIN EN.CITE </w:instrText>
      </w:r>
      <w:r>
        <w:rPr>
          <w:rFonts w:ascii="Times New Roman" w:hAnsi="Times New Roman" w:eastAsia="楷体"/>
          <w:color w:val="auto"/>
          <w:shd w:val="clear" w:color="auto" w:fill="FFFFFF"/>
        </w:rPr>
        <w:fldChar w:fldCharType="begin">
          <w:fldData xml:space="preserve">PEVuZE5vdGU+PENpdGU+PEF1dGhvcj5XYW5nPC9BdXRob3I+PFllYXI+MjAxNTwvWWVhcj48UmVj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</w:fldData>
        </w:fldChar>
      </w:r>
      <w:r>
        <w:rPr>
          <w:rFonts w:ascii="Times New Roman" w:hAnsi="Times New Roman" w:eastAsia="楷体"/>
          <w:color w:val="auto"/>
          <w:shd w:val="clear" w:color="auto" w:fill="FFFFFF"/>
        </w:rPr>
        <w:instrText xml:space="preserve"> ADDIN EN.CITE.DATA </w:instrText>
      </w:r>
      <w:r>
        <w:rPr>
          <w:rFonts w:hint="default" w:ascii="Times New Roman" w:hAnsi="Times New Roman" w:eastAsia="楷体"/>
          <w:color w:val="auto"/>
          <w:shd w:val="clear" w:color="auto" w:fill="FFFFFF"/>
        </w:rPr>
        <w:fldChar w:fldCharType="separate"/>
      </w:r>
      <w:r>
        <w:rPr>
          <w:rFonts w:ascii="Times New Roman" w:hAnsi="Times New Roman" w:eastAsia="楷体"/>
          <w:color w:val="auto"/>
          <w:shd w:val="clear" w:color="auto" w:fill="FFFFFF"/>
        </w:rPr>
        <w:fldChar w:fldCharType="end"/>
      </w:r>
      <w:r>
        <w:rPr>
          <w:rFonts w:hint="default" w:ascii="Times New Roman" w:hAnsi="Times New Roman" w:eastAsia="楷体"/>
          <w:color w:val="auto"/>
          <w:shd w:val="clear" w:color="auto" w:fill="FFFFFF"/>
        </w:rPr>
        <w:fldChar w:fldCharType="separate"/>
      </w:r>
      <w:r>
        <w:rPr>
          <w:rFonts w:hint="default" w:ascii="Times New Roman" w:hAnsi="Times New Roman" w:eastAsia="楷体"/>
          <w:color w:val="auto"/>
          <w:shd w:val="clear" w:color="auto" w:fill="FFFFFF"/>
        </w:rPr>
        <w:t>(Wang et al., 2015)</w:t>
      </w:r>
      <w:r>
        <w:rPr>
          <w:rFonts w:hint="default" w:ascii="Times New Roman" w:hAnsi="Times New Roman" w:eastAsia="楷体"/>
          <w:color w:val="auto"/>
          <w:shd w:val="clear" w:color="auto" w:fill="FFFFFF"/>
        </w:rPr>
        <w:fldChar w:fldCharType="end"/>
      </w:r>
      <w:r>
        <w:rPr>
          <w:rFonts w:hint="default" w:ascii="Times New Roman" w:hAnsi="Times New Roman" w:eastAsia="楷体"/>
          <w:color w:val="auto"/>
          <w:shd w:val="clear" w:color="auto" w:fill="FFFFFF"/>
        </w:rPr>
        <w:t xml:space="preserve"> provided references for calculating the biomass of each plant organ of different species. Moreover, we appealed to another two handbooks (in Chinese) named “Comprehensive Database of Biomass Regressions for China’s Tree Species” (2015) and “Carbon Stocks in Forest Ecosystems in China: Biomass Equations” (2018). They introduced biomass equation modeling in detail and provided biomass equations of plant organs (leaf, branch, trunk, and root) of different species. Especially, for one species with different range of DBH, different parameters were used in equations to ensure the reliability of estimation. Furthermore, the biomass of species without specific equations was calculated using equations of species from the same genera or mixed-species equations, which can also be extracted from the above two handbooks. After obtaining the biomass information of each tree and shrub species, we calculated the community biomass per unit area by the following equation</w:t>
      </w:r>
    </w:p>
    <w:p w14:paraId="60A12AB8">
      <w:pPr>
        <w:pStyle w:val="6"/>
        <w:widowControl/>
        <w:spacing w:line="360" w:lineRule="auto"/>
        <w:jc w:val="both"/>
        <w:rPr>
          <w:rFonts w:hint="default" w:ascii="Times New Roman" w:hAnsi="Times New Roman" w:eastAsia="楷体"/>
          <w:color w:val="auto"/>
          <w:shd w:val="clear" w:color="auto" w:fill="FFFFFF"/>
        </w:rPr>
      </w:pPr>
      <m:oMathPara>
        <m:oMath>
          <m:eqArr>
            <m:eqArrPr>
              <m:maxDist m:val="1"/>
              <m:ctrlPr>
                <w:rPr>
                  <w:rFonts w:hint="default" w:ascii="Cambria Math" w:hAnsi="Cambria Math" w:eastAsia="楷体"/>
                  <w:i/>
                  <w:color w:val="auto"/>
                  <w:shd w:val="clear" w:color="auto" w:fill="FFFFFF"/>
                </w:rPr>
              </m:ctrlPr>
            </m:eqArrPr>
            <m:e>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m:t>
                  </m:r>
                  <m:ctrlPr>
                    <w:rPr>
                      <w:rFonts w:hint="default" w:ascii="Cambria Math" w:hAnsi="Cambria Math" w:eastAsia="楷体"/>
                      <w:i/>
                      <w:color w:val="auto"/>
                      <w:shd w:val="clear" w:color="auto" w:fill="FFFFFF"/>
                    </w:rPr>
                  </m:ctrlPr>
                </m:sub>
              </m:sSub>
              <m:r>
                <m:rPr/>
                <w:rPr>
                  <w:rFonts w:hint="default" w:ascii="Cambria Math" w:hAnsi="Cambria Math" w:eastAsia="楷体"/>
                  <w:color w:val="auto"/>
                  <w:shd w:val="clear" w:color="auto" w:fill="FFFFFF"/>
                </w:rPr>
                <m:t>=</m:t>
              </m:r>
              <m:nary>
                <m:naryPr>
                  <m:chr m:val="∑"/>
                  <m:limLoc m:val="subSup"/>
                  <m:ctrlPr>
                    <w:rPr>
                      <w:rFonts w:hint="default" w:ascii="Cambria Math" w:hAnsi="Cambria Math" w:eastAsia="楷体"/>
                      <w:i/>
                      <w:color w:val="auto"/>
                      <w:shd w:val="clear" w:color="auto" w:fill="FFFFFF"/>
                    </w:rPr>
                  </m:ctrlPr>
                </m:naryPr>
                <m:sub>
                  <m:r>
                    <m:rPr/>
                    <w:rPr>
                      <w:rFonts w:hint="default" w:ascii="Cambria Math" w:hAnsi="Cambria Math" w:eastAsia="楷体"/>
                      <w:color w:val="auto"/>
                      <w:shd w:val="clear" w:color="auto" w:fill="FFFFFF"/>
                    </w:rPr>
                    <m:t>i=1</m:t>
                  </m:r>
                  <m:ctrlPr>
                    <w:rPr>
                      <w:rFonts w:hint="default" w:ascii="Cambria Math" w:hAnsi="Cambria Math" w:eastAsia="楷体"/>
                      <w:i/>
                      <w:color w:val="auto"/>
                      <w:shd w:val="clear" w:color="auto" w:fill="FFFFFF"/>
                    </w:rPr>
                  </m:ctrlPr>
                </m:sub>
                <m:sup>
                  <m:r>
                    <m:rPr/>
                    <w:rPr>
                      <w:rFonts w:hint="default" w:ascii="Cambria Math" w:hAnsi="Cambria Math" w:eastAsia="楷体"/>
                      <w:color w:val="auto"/>
                      <w:shd w:val="clear" w:color="auto" w:fill="FFFFFF"/>
                    </w:rPr>
                    <m:t>n</m:t>
                  </m:r>
                  <m:ctrlPr>
                    <w:rPr>
                      <w:rFonts w:hint="default" w:ascii="Cambria Math" w:hAnsi="Cambria Math" w:eastAsia="楷体"/>
                      <w:i/>
                      <w:color w:val="auto"/>
                      <w:shd w:val="clear" w:color="auto" w:fill="FFFFFF"/>
                    </w:rPr>
                  </m:ctrlPr>
                </m:sup>
                <m:e>
                  <m:nary>
                    <m:naryPr>
                      <m:chr m:val="∑"/>
                      <m:limLoc m:val="subSup"/>
                      <m:ctrlPr>
                        <w:rPr>
                          <w:rFonts w:hint="default" w:ascii="Cambria Math" w:hAnsi="Cambria Math" w:eastAsia="楷体"/>
                          <w:i/>
                          <w:color w:val="auto"/>
                          <w:shd w:val="clear" w:color="auto" w:fill="FFFFFF"/>
                        </w:rPr>
                      </m:ctrlPr>
                    </m:naryPr>
                    <m:sub>
                      <m:r>
                        <m:rPr/>
                        <w:rPr>
                          <w:rFonts w:hint="default" w:ascii="Cambria Math" w:hAnsi="Cambria Math" w:eastAsia="楷体"/>
                          <w:color w:val="auto"/>
                          <w:shd w:val="clear" w:color="auto" w:fill="FFFFFF"/>
                        </w:rPr>
                        <m:t>j=1</m:t>
                      </m:r>
                      <m:ctrlPr>
                        <w:rPr>
                          <w:rFonts w:hint="default" w:ascii="Cambria Math" w:hAnsi="Cambria Math" w:eastAsia="楷体"/>
                          <w:i/>
                          <w:color w:val="auto"/>
                          <w:shd w:val="clear" w:color="auto" w:fill="FFFFFF"/>
                        </w:rPr>
                      </m:ctrlPr>
                    </m:sub>
                    <m:sup>
                      <m:r>
                        <m:rPr/>
                        <w:rPr>
                          <w:rFonts w:hint="default" w:ascii="Cambria Math" w:hAnsi="Cambria Math" w:eastAsia="楷体"/>
                          <w:color w:val="auto"/>
                          <w:shd w:val="clear" w:color="auto" w:fill="FFFFFF"/>
                        </w:rPr>
                        <m:t>m</m:t>
                      </m:r>
                      <m:ctrlPr>
                        <w:rPr>
                          <w:rFonts w:hint="default" w:ascii="Cambria Math" w:hAnsi="Cambria Math" w:eastAsia="楷体"/>
                          <w:i/>
                          <w:color w:val="auto"/>
                          <w:shd w:val="clear" w:color="auto" w:fill="FFFFFF"/>
                        </w:rPr>
                      </m:ctrlPr>
                    </m:sup>
                    <m:e>
                      <m:f>
                        <m:fPr>
                          <m:ctrlPr>
                            <w:rPr>
                              <w:rFonts w:hint="default" w:ascii="Cambria Math" w:hAnsi="Cambria Math" w:eastAsia="楷体"/>
                              <w:i/>
                              <w:color w:val="auto"/>
                              <w:shd w:val="clear" w:color="auto" w:fill="FFFFFF"/>
                            </w:rPr>
                          </m:ctrlPr>
                        </m:fPr>
                        <m:num>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i,j</m:t>
                              </m:r>
                              <m:ctrlPr>
                                <w:rPr>
                                  <w:rFonts w:hint="default" w:ascii="Cambria Math" w:hAnsi="Cambria Math" w:eastAsia="楷体"/>
                                  <w:i/>
                                  <w:color w:val="auto"/>
                                  <w:shd w:val="clear" w:color="auto" w:fill="FFFFFF"/>
                                </w:rPr>
                              </m:ctrlPr>
                            </m:sub>
                          </m:sSub>
                          <m:sSup>
                            <m:sSupPr>
                              <m:ctrlPr>
                                <w:rPr>
                                  <w:rFonts w:hint="default" w:ascii="Cambria Math" w:hAnsi="Cambria Math" w:eastAsia="楷体"/>
                                  <w:i/>
                                  <w:color w:val="auto"/>
                                  <w:shd w:val="clear" w:color="auto" w:fill="FFFFFF"/>
                                </w:rPr>
                              </m:ctrlPr>
                            </m:sSupPr>
                            <m:e>
                              <m:r>
                                <m:rPr/>
                                <w:rPr>
                                  <w:rFonts w:hint="default" w:ascii="Cambria Math" w:hAnsi="Cambria Math" w:eastAsia="楷体"/>
                                  <w:color w:val="auto"/>
                                  <w:shd w:val="clear" w:color="auto" w:fill="FFFFFF"/>
                                </w:rPr>
                                <m:t>D</m:t>
                              </m:r>
                              <m:ctrlPr>
                                <w:rPr>
                                  <w:rFonts w:hint="default" w:ascii="Cambria Math" w:hAnsi="Cambria Math" w:eastAsia="楷体"/>
                                  <w:i/>
                                  <w:color w:val="auto"/>
                                  <w:shd w:val="clear" w:color="auto" w:fill="FFFFFF"/>
                                </w:rPr>
                              </m:ctrlPr>
                            </m:e>
                            <m:sup>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i,j</m:t>
                                  </m:r>
                                  <m:ctrlPr>
                                    <w:rPr>
                                      <w:rFonts w:hint="default" w:ascii="Cambria Math" w:hAnsi="Cambria Math" w:eastAsia="楷体"/>
                                      <w:i/>
                                      <w:color w:val="auto"/>
                                      <w:shd w:val="clear" w:color="auto" w:fill="FFFFFF"/>
                                    </w:rPr>
                                  </m:ctrlPr>
                                </m:sub>
                              </m:sSub>
                              <m:ctrlPr>
                                <w:rPr>
                                  <w:rFonts w:hint="default" w:ascii="Cambria Math" w:hAnsi="Cambria Math" w:eastAsia="楷体"/>
                                  <w:i/>
                                  <w:color w:val="auto"/>
                                  <w:shd w:val="clear" w:color="auto" w:fill="FFFFFF"/>
                                </w:rPr>
                              </m:ctrlPr>
                            </m:sup>
                          </m:sSup>
                          <m:ctrlPr>
                            <w:rPr>
                              <w:rFonts w:hint="default" w:ascii="Cambria Math" w:hAnsi="Cambria Math" w:eastAsia="楷体"/>
                              <w:i/>
                              <w:color w:val="auto"/>
                              <w:shd w:val="clear" w:color="auto" w:fill="FFFFFF"/>
                            </w:rPr>
                          </m:ctrlPr>
                        </m:num>
                        <m:den>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den>
                      </m:f>
                      <m:ctrlPr>
                        <w:rPr>
                          <w:rFonts w:hint="default" w:ascii="Cambria Math" w:hAnsi="Cambria Math" w:eastAsia="楷体"/>
                          <w:i/>
                          <w:color w:val="auto"/>
                          <w:shd w:val="clear" w:color="auto" w:fill="FFFFFF"/>
                        </w:rPr>
                      </m:ctrlPr>
                    </m:e>
                  </m:nary>
                  <m:ctrlPr>
                    <w:rPr>
                      <w:rFonts w:hint="default" w:ascii="Cambria Math" w:hAnsi="Cambria Math" w:eastAsia="楷体"/>
                      <w:i/>
                      <w:color w:val="auto"/>
                      <w:shd w:val="clear" w:color="auto" w:fill="FFFFFF"/>
                    </w:rPr>
                  </m:ctrlPr>
                </m:e>
              </m:nary>
              <m:r>
                <m:rPr/>
                <w:rPr>
                  <w:rFonts w:hint="default" w:ascii="Cambria Math" w:hAnsi="Cambria Math" w:eastAsia="楷体"/>
                  <w:color w:val="auto"/>
                  <w:shd w:val="clear" w:color="auto" w:fill="FFFFFF"/>
                </w:rPr>
                <m:t xml:space="preserve">   #4</m:t>
              </m:r>
              <m:ctrlPr>
                <w:rPr>
                  <w:rFonts w:hint="default" w:ascii="Cambria Math" w:hAnsi="Cambria Math" w:eastAsia="楷体"/>
                  <w:i/>
                  <w:color w:val="auto"/>
                  <w:shd w:val="clear" w:color="auto" w:fill="FFFFFF"/>
                </w:rPr>
              </m:ctrlPr>
            </m:e>
          </m:eqArr>
        </m:oMath>
      </m:oMathPara>
    </w:p>
    <w:p w14:paraId="167611CC">
      <w:pPr>
        <w:pStyle w:val="6"/>
        <w:widowControl/>
        <w:spacing w:line="360" w:lineRule="auto"/>
        <w:jc w:val="both"/>
        <w:rPr>
          <w:rFonts w:hint="default" w:ascii="Times New Roman" w:hAnsi="Times New Roman" w:eastAsia="楷体"/>
          <w:color w:val="auto"/>
          <w:shd w:val="clear" w:color="auto" w:fill="FFFFFF"/>
        </w:rPr>
      </w:pPr>
    </w:p>
    <w:p w14:paraId="4052FF21">
      <w:pPr>
        <w:pStyle w:val="6"/>
        <w:widowControl/>
        <w:spacing w:line="360" w:lineRule="auto"/>
        <w:jc w:val="both"/>
        <w:rPr>
          <w:rFonts w:hint="default" w:ascii="Times New Roman" w:hAnsi="Times New Roman" w:eastAsia="楷体"/>
          <w:color w:val="auto"/>
          <w:shd w:val="clear" w:color="auto" w:fill="FFFFFF"/>
        </w:rPr>
      </w:pPr>
    </w:p>
    <w:p w14:paraId="05432760">
      <w:pPr>
        <w:pStyle w:val="6"/>
        <w:widowControl/>
        <w:spacing w:line="360" w:lineRule="auto"/>
        <w:jc w:val="both"/>
        <w:rPr>
          <w:rFonts w:hint="default" w:ascii="Times New Roman" w:hAnsi="Times New Roman" w:eastAsia="楷体"/>
          <w:color w:val="auto"/>
          <w:shd w:val="clear" w:color="auto" w:fill="FFFFFF"/>
        </w:rPr>
      </w:pPr>
      <m:oMathPara>
        <m:oMath>
          <m:eqArr>
            <m:eqArrPr>
              <m:maxDist m:val="1"/>
              <m:ctrlPr>
                <w:rPr>
                  <w:rFonts w:hint="default" w:ascii="Cambria Math" w:hAnsi="Cambria Math" w:eastAsia="楷体"/>
                  <w:i/>
                  <w:color w:val="auto"/>
                  <w:shd w:val="clear" w:color="auto" w:fill="FFFFFF"/>
                </w:rPr>
              </m:ctrlPr>
            </m:eqArrPr>
            <m:e>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m:t>
                  </m:r>
                  <m:ctrlPr>
                    <w:rPr>
                      <w:rFonts w:hint="default" w:ascii="Cambria Math" w:hAnsi="Cambria Math" w:eastAsia="楷体"/>
                      <w:i/>
                      <w:color w:val="auto"/>
                      <w:shd w:val="clear" w:color="auto" w:fill="FFFFFF"/>
                    </w:rPr>
                  </m:ctrlPr>
                </m:sub>
              </m:sSub>
              <m:r>
                <m:rPr/>
                <w:rPr>
                  <w:rFonts w:hint="default" w:ascii="Cambria Math" w:hAnsi="Cambria Math" w:eastAsia="楷体"/>
                  <w:color w:val="auto"/>
                  <w:shd w:val="clear" w:color="auto" w:fill="FFFFFF"/>
                </w:rPr>
                <m:t>=</m:t>
              </m:r>
              <m:nary>
                <m:naryPr>
                  <m:chr m:val="∑"/>
                  <m:limLoc m:val="subSup"/>
                  <m:ctrlPr>
                    <w:rPr>
                      <w:rFonts w:hint="default" w:ascii="Cambria Math" w:hAnsi="Cambria Math" w:eastAsia="楷体"/>
                      <w:i/>
                      <w:color w:val="auto"/>
                      <w:shd w:val="clear" w:color="auto" w:fill="FFFFFF"/>
                    </w:rPr>
                  </m:ctrlPr>
                </m:naryPr>
                <m:sub>
                  <m:r>
                    <m:rPr/>
                    <w:rPr>
                      <w:rFonts w:hint="default" w:ascii="Cambria Math" w:hAnsi="Cambria Math" w:eastAsia="楷体"/>
                      <w:color w:val="auto"/>
                      <w:shd w:val="clear" w:color="auto" w:fill="FFFFFF"/>
                    </w:rPr>
                    <m:t>j=1</m:t>
                  </m:r>
                  <m:ctrlPr>
                    <w:rPr>
                      <w:rFonts w:hint="default" w:ascii="Cambria Math" w:hAnsi="Cambria Math" w:eastAsia="楷体"/>
                      <w:i/>
                      <w:color w:val="auto"/>
                      <w:shd w:val="clear" w:color="auto" w:fill="FFFFFF"/>
                    </w:rPr>
                  </m:ctrlPr>
                </m:sub>
                <m:sup>
                  <m:r>
                    <m:rPr/>
                    <w:rPr>
                      <w:rFonts w:hint="default" w:ascii="Cambria Math" w:hAnsi="Cambria Math" w:eastAsia="楷体"/>
                      <w:color w:val="auto"/>
                      <w:shd w:val="clear" w:color="auto" w:fill="FFFFFF"/>
                    </w:rPr>
                    <m:t>m</m:t>
                  </m:r>
                  <m:ctrlPr>
                    <w:rPr>
                      <w:rFonts w:hint="default" w:ascii="Cambria Math" w:hAnsi="Cambria Math" w:eastAsia="楷体"/>
                      <w:i/>
                      <w:color w:val="auto"/>
                      <w:shd w:val="clear" w:color="auto" w:fill="FFFFFF"/>
                    </w:rPr>
                  </m:ctrlPr>
                </m:sup>
                <m:e>
                  <m:f>
                    <m:fPr>
                      <m:ctrlPr>
                        <w:rPr>
                          <w:rFonts w:hint="default" w:ascii="Cambria Math" w:hAnsi="Cambria Math" w:eastAsia="楷体"/>
                          <w:i/>
                          <w:color w:val="auto"/>
                          <w:shd w:val="clear" w:color="auto" w:fill="FFFFFF"/>
                        </w:rPr>
                      </m:ctrlPr>
                    </m:fPr>
                    <m:num>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leaf,j</m:t>
                          </m:r>
                          <m:ctrlPr>
                            <w:rPr>
                              <w:rFonts w:hint="default" w:ascii="Cambria Math" w:hAnsi="Cambria Math" w:eastAsia="楷体"/>
                              <w:i/>
                              <w:color w:val="auto"/>
                              <w:shd w:val="clear" w:color="auto" w:fill="FFFFFF"/>
                            </w:rPr>
                          </m:ctrlPr>
                        </m:sub>
                      </m:sSub>
                      <m:sSup>
                        <m:sSupPr>
                          <m:ctrlPr>
                            <w:rPr>
                              <w:rFonts w:hint="default" w:ascii="Cambria Math" w:hAnsi="Cambria Math" w:eastAsia="楷体"/>
                              <w:i/>
                              <w:color w:val="auto"/>
                              <w:shd w:val="clear" w:color="auto" w:fill="FFFFFF"/>
                            </w:rPr>
                          </m:ctrlPr>
                        </m:sSupPr>
                        <m:e>
                          <m:r>
                            <m:rPr/>
                            <w:rPr>
                              <w:rFonts w:hint="default" w:ascii="Cambria Math" w:hAnsi="Cambria Math" w:eastAsia="楷体"/>
                              <w:color w:val="auto"/>
                              <w:shd w:val="clear" w:color="auto" w:fill="FFFFFF"/>
                            </w:rPr>
                            <m:t>D</m:t>
                          </m:r>
                          <m:ctrlPr>
                            <w:rPr>
                              <w:rFonts w:hint="default" w:ascii="Cambria Math" w:hAnsi="Cambria Math" w:eastAsia="楷体"/>
                              <w:i/>
                              <w:color w:val="auto"/>
                              <w:shd w:val="clear" w:color="auto" w:fill="FFFFFF"/>
                            </w:rPr>
                          </m:ctrlPr>
                        </m:e>
                        <m:sup>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leaf,j</m:t>
                              </m:r>
                              <m:ctrlPr>
                                <w:rPr>
                                  <w:rFonts w:hint="default" w:ascii="Cambria Math" w:hAnsi="Cambria Math" w:eastAsia="楷体"/>
                                  <w:i/>
                                  <w:color w:val="auto"/>
                                  <w:shd w:val="clear" w:color="auto" w:fill="FFFFFF"/>
                                </w:rPr>
                              </m:ctrlPr>
                            </m:sub>
                          </m:sSub>
                          <m:ctrlPr>
                            <w:rPr>
                              <w:rFonts w:hint="default" w:ascii="Cambria Math" w:hAnsi="Cambria Math" w:eastAsia="楷体"/>
                              <w:i/>
                              <w:color w:val="auto"/>
                              <w:shd w:val="clear" w:color="auto" w:fill="FFFFFF"/>
                            </w:rPr>
                          </m:ctrlPr>
                        </m:sup>
                      </m:sSup>
                      <m:ctrlPr>
                        <w:rPr>
                          <w:rFonts w:hint="default" w:ascii="Cambria Math" w:hAnsi="Cambria Math" w:eastAsia="楷体"/>
                          <w:i/>
                          <w:color w:val="auto"/>
                          <w:shd w:val="clear" w:color="auto" w:fill="FFFFFF"/>
                        </w:rPr>
                      </m:ctrlPr>
                    </m:num>
                    <m:den>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den>
                  </m:f>
                  <m:ctrlPr>
                    <w:rPr>
                      <w:rFonts w:hint="default" w:ascii="Cambria Math" w:hAnsi="Cambria Math" w:eastAsia="楷体"/>
                      <w:i/>
                      <w:color w:val="auto"/>
                      <w:shd w:val="clear" w:color="auto" w:fill="FFFFFF"/>
                    </w:rPr>
                  </m:ctrlPr>
                </m:e>
              </m:nary>
              <m:r>
                <m:rPr/>
                <w:rPr>
                  <w:rFonts w:hint="default" w:ascii="Cambria Math" w:hAnsi="Cambria Math" w:eastAsia="楷体"/>
                  <w:color w:val="auto"/>
                  <w:shd w:val="clear" w:color="auto" w:fill="FFFFFF"/>
                </w:rPr>
                <m:t xml:space="preserve">   #5</m:t>
              </m:r>
              <m:ctrlPr>
                <w:rPr>
                  <w:rFonts w:hint="default" w:ascii="Cambria Math" w:hAnsi="Cambria Math" w:eastAsia="楷体"/>
                  <w:i/>
                  <w:color w:val="auto"/>
                  <w:shd w:val="clear" w:color="auto" w:fill="FFFFFF"/>
                </w:rPr>
              </m:ctrlPr>
            </m:e>
          </m:eqArr>
        </m:oMath>
      </m:oMathPara>
    </w:p>
    <w:p w14:paraId="31BEE496">
      <w:pPr>
        <w:pStyle w:val="6"/>
        <w:widowControl/>
        <w:spacing w:line="360" w:lineRule="auto"/>
        <w:jc w:val="both"/>
        <w:rPr>
          <w:rFonts w:hint="default" w:ascii="Times New Roman" w:hAnsi="Times New Roman" w:eastAsia="楷体"/>
          <w:color w:val="auto"/>
          <w:shd w:val="clear" w:color="auto" w:fill="FFFFFF"/>
        </w:rPr>
      </w:pPr>
      <w:r>
        <w:rPr>
          <w:rFonts w:hint="default" w:ascii="Times New Roman" w:hAnsi="Times New Roman" w:eastAsia="楷体"/>
          <w:color w:val="auto"/>
          <w:shd w:val="clear" w:color="auto" w:fill="FFFFFF"/>
        </w:rPr>
        <w:t xml:space="preserve">Where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m:t>
            </m:r>
            <m:ctrlPr>
              <w:rPr>
                <w:rFonts w:hint="default" w:ascii="Cambria Math" w:hAnsi="Cambria Math" w:eastAsia="楷体"/>
                <w:i/>
                <w:color w:val="auto"/>
                <w:shd w:val="clear" w:color="auto" w:fill="FFFFFF"/>
              </w:rPr>
            </m:ctrlPr>
          </m:sub>
        </m:sSub>
      </m:oMath>
      <w:r>
        <w:rPr>
          <w:rFonts w:hint="default" w:ascii="Times New Roman" w:hAnsi="Times New Roman" w:eastAsia="楷体"/>
          <w:color w:val="auto"/>
          <w:shd w:val="clear" w:color="auto" w:fill="FFFFFF"/>
        </w:rPr>
        <w:t xml:space="preserve"> is the community biomass density in organ (i.e., leaf, branch, and trunk),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m:t>
            </m:r>
            <m:ctrlPr>
              <w:rPr>
                <w:rFonts w:hint="default" w:ascii="Cambria Math" w:hAnsi="Cambria Math" w:eastAsia="楷体"/>
                <w:i/>
                <w:color w:val="auto"/>
                <w:shd w:val="clear" w:color="auto" w:fill="FFFFFF"/>
              </w:rPr>
            </m:ctrlPr>
          </m:sub>
        </m:sSub>
        <m:r>
          <m:rPr/>
          <w:rPr>
            <w:rFonts w:hint="default" w:ascii="Cambria Math" w:hAnsi="Cambria Math" w:eastAsia="楷体"/>
            <w:color w:val="auto"/>
            <w:shd w:val="clear" w:color="auto" w:fill="FFFFFF"/>
          </w:rPr>
          <m:t xml:space="preserve"> </m:t>
        </m:r>
      </m:oMath>
      <w:r>
        <w:rPr>
          <w:rFonts w:hint="default" w:ascii="Times New Roman" w:hAnsi="Times New Roman" w:eastAsia="楷体"/>
          <w:color w:val="auto"/>
          <w:shd w:val="clear" w:color="auto" w:fill="FFFFFF"/>
        </w:rPr>
        <w:t>is the community biomass density in leaf (kg m</w:t>
      </w:r>
      <w:r>
        <w:rPr>
          <w:rFonts w:hint="default" w:ascii="Times New Roman" w:hAnsi="Times New Roman" w:eastAsia="楷体"/>
          <w:color w:val="auto"/>
          <w:shd w:val="clear" w:color="auto" w:fill="FFFFFF"/>
          <w:vertAlign w:val="superscript"/>
        </w:rPr>
        <w:t>−2</w:t>
      </w:r>
      <w:r>
        <w:rPr>
          <w:rFonts w:hint="default" w:ascii="Times New Roman" w:hAnsi="Times New Roman" w:eastAsia="楷体"/>
          <w:color w:val="auto"/>
          <w:shd w:val="clear" w:color="auto" w:fill="FFFFFF"/>
        </w:rPr>
        <w:t xml:space="preserve">).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i,j</m:t>
            </m:r>
            <m:ctrlPr>
              <w:rPr>
                <w:rFonts w:hint="default" w:ascii="Cambria Math" w:hAnsi="Cambria Math" w:eastAsia="楷体"/>
                <w:i/>
                <w:color w:val="auto"/>
                <w:shd w:val="clear" w:color="auto" w:fill="FFFFFF"/>
              </w:rPr>
            </m:ctrlPr>
          </m:sub>
        </m:sSub>
      </m:oMath>
      <w:r>
        <w:rPr>
          <w:rFonts w:hint="default" w:ascii="Times New Roman" w:hAnsi="Times New Roman" w:eastAsia="楷体"/>
          <w:color w:val="auto"/>
          <w:shd w:val="clear" w:color="auto" w:fill="FFFFFF"/>
        </w:rPr>
        <w:t xml:space="preserve"> and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i,j</m:t>
            </m:r>
            <m:ctrlPr>
              <w:rPr>
                <w:rFonts w:hint="default" w:ascii="Cambria Math" w:hAnsi="Cambria Math" w:eastAsia="楷体"/>
                <w:i/>
                <w:color w:val="auto"/>
                <w:shd w:val="clear" w:color="auto" w:fill="FFFFFF"/>
              </w:rPr>
            </m:ctrlPr>
          </m:sub>
        </m:sSub>
      </m:oMath>
      <w:r>
        <w:rPr>
          <w:rFonts w:hint="default" w:ascii="Times New Roman" w:hAnsi="Times New Roman" w:eastAsia="楷体"/>
          <w:color w:val="auto"/>
          <w:shd w:val="clear" w:color="auto" w:fill="FFFFFF"/>
        </w:rPr>
        <w:t xml:space="preserve"> are constants for the organ i of a specific tree or shrub species </w:t>
      </w:r>
      <m:oMath>
        <m:r>
          <m:rPr/>
          <w:rPr>
            <w:rFonts w:hint="default" w:ascii="Cambria Math" w:hAnsi="Cambria Math" w:eastAsia="楷体"/>
            <w:color w:val="auto"/>
            <w:shd w:val="clear" w:color="auto" w:fill="FFFFFF"/>
          </w:rPr>
          <m:t>j</m:t>
        </m:r>
      </m:oMath>
      <w:r>
        <w:rPr>
          <w:rFonts w:hint="default" w:ascii="Times New Roman" w:hAnsi="Times New Roman" w:eastAsia="楷体"/>
          <w:color w:val="auto"/>
          <w:shd w:val="clear" w:color="auto" w:fill="FFFFFF"/>
        </w:rPr>
        <w:t xml:space="preserve">; and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a</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leaf,j</m:t>
            </m:r>
            <m:ctrlPr>
              <w:rPr>
                <w:rFonts w:hint="default" w:ascii="Cambria Math" w:hAnsi="Cambria Math" w:eastAsia="楷体"/>
                <w:i/>
                <w:color w:val="auto"/>
                <w:shd w:val="clear" w:color="auto" w:fill="FFFFFF"/>
              </w:rPr>
            </m:ctrlPr>
          </m:sub>
        </m:sSub>
      </m:oMath>
      <w:r>
        <w:rPr>
          <w:rFonts w:hint="default" w:ascii="Times New Roman" w:hAnsi="Times New Roman" w:eastAsia="楷体"/>
          <w:color w:val="auto"/>
          <w:shd w:val="clear" w:color="auto" w:fill="FFFFFF"/>
        </w:rPr>
        <w:t xml:space="preserve">and </w:t>
      </w:r>
      <m:oMath>
        <m:sSub>
          <m:sSubPr>
            <m:ctrlPr>
              <w:rPr>
                <w:rFonts w:hint="default" w:ascii="Cambria Math" w:hAnsi="Cambria Math" w:eastAsia="楷体"/>
                <w:i/>
                <w:color w:val="auto"/>
                <w:shd w:val="clear" w:color="auto" w:fill="FFFFFF"/>
              </w:rPr>
            </m:ctrlPr>
          </m:sSubPr>
          <m:e>
            <m:r>
              <m:rPr/>
              <w:rPr>
                <w:rFonts w:hint="default" w:ascii="Cambria Math" w:hAnsi="Cambria Math" w:eastAsia="楷体"/>
                <w:color w:val="auto"/>
                <w:shd w:val="clear" w:color="auto" w:fill="FFFFFF"/>
              </w:rPr>
              <m:t>b</m:t>
            </m:r>
            <m:ctrlPr>
              <w:rPr>
                <w:rFonts w:hint="default" w:ascii="Cambria Math" w:hAnsi="Cambria Math" w:eastAsia="楷体"/>
                <w:i/>
                <w:color w:val="auto"/>
                <w:shd w:val="clear" w:color="auto" w:fill="FFFFFF"/>
              </w:rPr>
            </m:ctrlPr>
          </m:e>
          <m:sub>
            <m:r>
              <m:rPr/>
              <w:rPr>
                <w:rFonts w:hint="default" w:ascii="Cambria Math" w:hAnsi="Cambria Math" w:eastAsia="楷体"/>
                <w:color w:val="auto"/>
                <w:shd w:val="clear" w:color="auto" w:fill="FFFFFF"/>
              </w:rPr>
              <m:t>leaf,j</m:t>
            </m:r>
            <m:ctrlPr>
              <w:rPr>
                <w:rFonts w:hint="default" w:ascii="Cambria Math" w:hAnsi="Cambria Math" w:eastAsia="楷体"/>
                <w:i/>
                <w:color w:val="auto"/>
                <w:shd w:val="clear" w:color="auto" w:fill="FFFFFF"/>
              </w:rPr>
            </m:ctrlPr>
          </m:sub>
        </m:sSub>
      </m:oMath>
      <w:r>
        <w:rPr>
          <w:rFonts w:hint="default" w:ascii="Times New Roman" w:hAnsi="Times New Roman" w:eastAsia="楷体"/>
          <w:color w:val="auto"/>
          <w:shd w:val="clear" w:color="auto" w:fill="FFFFFF"/>
        </w:rPr>
        <w:t xml:space="preserve"> are constants for the above-ground organ (leaf) of a specific tree or shrub species </w:t>
      </w:r>
      <m:oMath>
        <m:r>
          <m:rPr/>
          <w:rPr>
            <w:rFonts w:hint="default" w:ascii="Cambria Math" w:hAnsi="Cambria Math" w:eastAsia="楷体"/>
            <w:color w:val="auto"/>
            <w:shd w:val="clear" w:color="auto" w:fill="FFFFFF"/>
          </w:rPr>
          <m:t>j</m:t>
        </m:r>
      </m:oMath>
      <w:r>
        <w:rPr>
          <w:rFonts w:hint="default" w:ascii="Times New Roman" w:hAnsi="Times New Roman" w:eastAsia="楷体"/>
          <w:color w:val="auto"/>
          <w:shd w:val="clear" w:color="auto" w:fill="FFFFFF"/>
        </w:rPr>
        <w:t xml:space="preserve">. </w:t>
      </w:r>
      <m:oMath>
        <m:r>
          <m:rPr/>
          <w:rPr>
            <w:rFonts w:hint="default" w:ascii="Cambria Math" w:hAnsi="Cambria Math" w:eastAsia="楷体"/>
            <w:color w:val="auto"/>
            <w:shd w:val="clear" w:color="auto" w:fill="FFFFFF"/>
          </w:rPr>
          <m:t>A</m:t>
        </m:r>
      </m:oMath>
      <w:r>
        <w:rPr>
          <w:rFonts w:hint="default" w:ascii="Times New Roman" w:hAnsi="Times New Roman" w:eastAsia="楷体"/>
          <w:color w:val="auto"/>
          <w:shd w:val="clear" w:color="auto" w:fill="FFFFFF"/>
        </w:rPr>
        <w:t xml:space="preserve"> is the area (m</w:t>
      </w:r>
      <w:r>
        <w:rPr>
          <w:rFonts w:hint="default" w:ascii="Times New Roman" w:hAnsi="Times New Roman" w:eastAsia="楷体"/>
          <w:color w:val="auto"/>
          <w:shd w:val="clear" w:color="auto" w:fill="FFFFFF"/>
          <w:vertAlign w:val="superscript"/>
        </w:rPr>
        <w:t>2</w:t>
      </w:r>
      <w:r>
        <w:rPr>
          <w:rFonts w:hint="default" w:ascii="Times New Roman" w:hAnsi="Times New Roman" w:eastAsia="楷体"/>
          <w:color w:val="auto"/>
          <w:shd w:val="clear" w:color="auto" w:fill="FFFFFF"/>
        </w:rPr>
        <w:t xml:space="preserve">) of the sampling plot. </w:t>
      </w:r>
      <m:oMath>
        <m:r>
          <m:rPr/>
          <w:rPr>
            <w:rFonts w:hint="default" w:ascii="Cambria Math" w:hAnsi="Cambria Math" w:eastAsia="楷体"/>
            <w:color w:val="auto"/>
            <w:shd w:val="clear" w:color="auto" w:fill="FFFFFF"/>
          </w:rPr>
          <m:t>n</m:t>
        </m:r>
      </m:oMath>
      <w:r>
        <w:rPr>
          <w:rFonts w:hint="default" w:ascii="Times New Roman" w:hAnsi="Times New Roman" w:eastAsia="楷体"/>
          <w:color w:val="auto"/>
          <w:shd w:val="clear" w:color="auto" w:fill="FFFFFF"/>
        </w:rPr>
        <w:t xml:space="preserve"> is the number of organs and </w:t>
      </w:r>
      <m:oMath>
        <m:r>
          <m:rPr/>
          <w:rPr>
            <w:rFonts w:hint="default" w:ascii="Cambria Math" w:hAnsi="Cambria Math" w:eastAsia="楷体"/>
            <w:color w:val="auto"/>
            <w:shd w:val="clear" w:color="auto" w:fill="FFFFFF"/>
          </w:rPr>
          <m:t>m</m:t>
        </m:r>
      </m:oMath>
      <w:r>
        <w:rPr>
          <w:rFonts w:hint="default" w:ascii="Times New Roman" w:hAnsi="Times New Roman" w:eastAsia="楷体"/>
          <w:color w:val="auto"/>
          <w:shd w:val="clear" w:color="auto" w:fill="FFFFFF"/>
        </w:rPr>
        <w:t xml:space="preserve"> is the number of plant species. We calculated the average biomass density of the three plots as the average biomass density of the sampling site.</w:t>
      </w:r>
    </w:p>
    <w:p w14:paraId="503578EE">
      <w:pPr>
        <w:rPr>
          <w:rFonts w:ascii="Times New Roman" w:hAnsi="Times New Roman" w:eastAsia="楷体" w:cs="Times New Roman"/>
          <w:b/>
          <w:color w:val="auto"/>
          <w:sz w:val="24"/>
          <w:szCs w:val="28"/>
          <w:lang w:bidi="ar"/>
        </w:rPr>
      </w:pPr>
      <w:r>
        <w:rPr>
          <w:rFonts w:ascii="Times New Roman" w:hAnsi="Times New Roman" w:eastAsia="宋体" w:cs="Times New Roman"/>
          <w:b/>
          <w:color w:val="auto"/>
          <w:kern w:val="0"/>
        </w:rPr>
        <w:br w:type="page"/>
      </w:r>
      <w:r>
        <w:rPr>
          <w:rFonts w:hint="eastAsia" w:ascii="Times New Roman" w:hAnsi="Times New Roman" w:eastAsia="楷体" w:cs="Times New Roman"/>
          <w:b/>
          <w:color w:val="auto"/>
          <w:sz w:val="24"/>
          <w:szCs w:val="28"/>
          <w:lang w:bidi="ar"/>
        </w:rPr>
        <w:t>Text</w:t>
      </w:r>
      <w:r>
        <w:rPr>
          <w:rFonts w:ascii="Times New Roman" w:hAnsi="Times New Roman" w:eastAsia="楷体" w:cs="Times New Roman"/>
          <w:b/>
          <w:color w:val="auto"/>
          <w:sz w:val="24"/>
          <w:szCs w:val="28"/>
          <w:lang w:bidi="ar"/>
        </w:rPr>
        <w:t xml:space="preserve"> </w:t>
      </w:r>
      <w:r>
        <w:rPr>
          <w:rFonts w:hint="eastAsia" w:ascii="Times New Roman" w:hAnsi="Times New Roman" w:eastAsia="楷体" w:cs="Times New Roman"/>
          <w:b/>
          <w:color w:val="auto"/>
          <w:sz w:val="24"/>
          <w:szCs w:val="28"/>
          <w:lang w:bidi="ar"/>
        </w:rPr>
        <w:t xml:space="preserve">S3 Methods to get GPP from </w:t>
      </w:r>
      <w:r>
        <w:rPr>
          <w:rFonts w:ascii="Times New Roman" w:hAnsi="Times New Roman" w:eastAsia="楷体" w:cs="Times New Roman"/>
          <w:b/>
          <w:bCs/>
          <w:color w:val="auto"/>
          <w:lang w:bidi="ar"/>
        </w:rPr>
        <w:t>MODIS</w:t>
      </w:r>
    </w:p>
    <w:p w14:paraId="7A6064DB">
      <w:pPr>
        <w:widowControl w:val="0"/>
        <w:spacing w:line="360" w:lineRule="auto"/>
        <w:jc w:val="both"/>
        <w:rPr>
          <w:rFonts w:ascii="Times New Roman" w:hAnsi="Times New Roman" w:eastAsia="楷体" w:cs="Times New Roman"/>
          <w:color w:val="auto"/>
          <w:sz w:val="24"/>
        </w:rPr>
      </w:pPr>
      <w:r>
        <w:rPr>
          <w:rFonts w:ascii="Times New Roman" w:hAnsi="Times New Roman" w:eastAsia="楷体" w:cs="Times New Roman"/>
          <w:b/>
          <w:bCs/>
          <w:color w:val="auto"/>
          <w:sz w:val="24"/>
          <w:lang w:bidi="ar"/>
        </w:rPr>
        <w:t>1. MODIS GPP Download &amp; Pre-processing</w:t>
      </w:r>
    </w:p>
    <w:p w14:paraId="3451F83F">
      <w:pPr>
        <w:widowControl w:val="0"/>
        <w:numPr>
          <w:ilvl w:val="0"/>
          <w:numId w:val="1"/>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Software &amp; Tools:</w:t>
      </w:r>
    </w:p>
    <w:p w14:paraId="3EC22293">
      <w:pPr>
        <w:widowControl w:val="0"/>
        <w:spacing w:line="360" w:lineRule="auto"/>
        <w:ind w:left="72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NASA Earthdata Login &amp; AppEEARS web interface (or Reverb)</w:t>
      </w:r>
    </w:p>
    <w:p w14:paraId="3450B001">
      <w:pPr>
        <w:widowControl w:val="0"/>
        <w:spacing w:line="360" w:lineRule="auto"/>
        <w:ind w:left="72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ArcMap “Multidimension Tools” toolbox</w:t>
      </w:r>
    </w:p>
    <w:p w14:paraId="48FF302D">
      <w:pPr>
        <w:widowControl w:val="0"/>
        <w:numPr>
          <w:ilvl w:val="0"/>
          <w:numId w:val="1"/>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Detailed Steps:</w:t>
      </w:r>
    </w:p>
    <w:p w14:paraId="157710D5">
      <w:pPr>
        <w:widowControl w:val="0"/>
        <w:numPr>
          <w:ilvl w:val="0"/>
          <w:numId w:val="2"/>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Data Retrieval</w:t>
      </w:r>
    </w:p>
    <w:p w14:paraId="0BCF3284">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Log into Earthdata, query MOD17A2H.061 for years 2019–2021, select 8-day composites.</w:t>
      </w:r>
    </w:p>
    <w:p w14:paraId="1EFB2321">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Download HDF files to &lt;###&gt;/MODIS/HDF/.</w:t>
      </w:r>
    </w:p>
    <w:p w14:paraId="4447FDD7">
      <w:pPr>
        <w:widowControl w:val="0"/>
        <w:numPr>
          <w:ilvl w:val="0"/>
          <w:numId w:val="2"/>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Subdataset Extraction</w:t>
      </w:r>
    </w:p>
    <w:p w14:paraId="02FA2BFB">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 ArcMap: ArcToolbox → Multidimension Tools → Make NetCDF Raster Layer</w:t>
      </w:r>
    </w:p>
    <w:p w14:paraId="264210AF">
      <w:pPr>
        <w:widowControl w:val="0"/>
        <w:spacing w:line="360" w:lineRule="auto"/>
        <w:ind w:left="258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File: MOD17A2H.A2019001.hdf</w:t>
      </w:r>
    </w:p>
    <w:p w14:paraId="19670C6D">
      <w:pPr>
        <w:widowControl w:val="0"/>
        <w:spacing w:line="360" w:lineRule="auto"/>
        <w:ind w:left="258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Variable: Gpp_500m → outputs a temporary raster layer.</w:t>
      </w:r>
    </w:p>
    <w:p w14:paraId="742974F8">
      <w:pPr>
        <w:widowControl w:val="0"/>
        <w:spacing w:line="360" w:lineRule="auto"/>
        <w:ind w:left="168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Repeat for Psn_QC_500m.</w:t>
      </w:r>
    </w:p>
    <w:p w14:paraId="053F3867">
      <w:pPr>
        <w:widowControl w:val="0"/>
        <w:numPr>
          <w:ilvl w:val="0"/>
          <w:numId w:val="2"/>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Scale‐Factor Application</w:t>
      </w:r>
    </w:p>
    <w:p w14:paraId="2EBA28A4">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ArcToolbox → Raster Calculator:</w:t>
      </w:r>
    </w:p>
    <w:p w14:paraId="557814F0">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 xml:space="preserve">GPP_float = "Gpp_500m" * 0.0001  </w:t>
      </w:r>
    </w:p>
    <w:p w14:paraId="4B668786">
      <w:pPr>
        <w:widowControl w:val="0"/>
        <w:spacing w:line="360" w:lineRule="auto"/>
        <w:ind w:left="1862"/>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Output Type: Floating point, saved to &lt;###&gt;/MODIS/Processed/GPP_8day_2019.gdb/GPP_8day_001.</w:t>
      </w:r>
    </w:p>
    <w:p w14:paraId="36B666FB">
      <w:pPr>
        <w:widowControl w:val="0"/>
        <w:spacing w:line="360" w:lineRule="auto"/>
        <w:jc w:val="both"/>
        <w:rPr>
          <w:rFonts w:ascii="Times New Roman" w:hAnsi="Times New Roman" w:eastAsia="楷体" w:cs="Times New Roman"/>
          <w:b/>
          <w:bCs/>
          <w:color w:val="auto"/>
          <w:sz w:val="24"/>
        </w:rPr>
      </w:pPr>
      <w:r>
        <w:rPr>
          <w:rFonts w:ascii="Times New Roman" w:hAnsi="Times New Roman" w:eastAsia="楷体" w:cs="Times New Roman"/>
          <w:b/>
          <w:bCs/>
          <w:color w:val="auto"/>
          <w:sz w:val="24"/>
          <w:lang w:bidi="ar"/>
        </w:rPr>
        <w:t>2. Projection Definition &amp; Reprojection</w:t>
      </w:r>
    </w:p>
    <w:p w14:paraId="20912E5B">
      <w:pPr>
        <w:widowControl w:val="0"/>
        <w:numPr>
          <w:ilvl w:val="0"/>
          <w:numId w:val="1"/>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Software &amp; Tools: ArcMap “Data Management Tools → Projections and Transformations”</w:t>
      </w:r>
    </w:p>
    <w:p w14:paraId="732AACC5">
      <w:pPr>
        <w:widowControl w:val="0"/>
        <w:numPr>
          <w:ilvl w:val="0"/>
          <w:numId w:val="1"/>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Detailed Steps:</w:t>
      </w:r>
    </w:p>
    <w:p w14:paraId="02CC5795">
      <w:pPr>
        <w:widowControl w:val="0"/>
        <w:numPr>
          <w:ilvl w:val="0"/>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Define Native Sinusoidal</w:t>
      </w:r>
    </w:p>
    <w:p w14:paraId="72D2305D">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ArcToolbox → Define Projection</w:t>
      </w:r>
    </w:p>
    <w:p w14:paraId="1E35EFF6">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Dataset: each raw 8-day GPP raster</w:t>
      </w:r>
    </w:p>
    <w:p w14:paraId="7C020522">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Coordinate System: Import from Sinusoidal (SR-ORG:6974) prj file.</w:t>
      </w:r>
    </w:p>
    <w:p w14:paraId="28DD901E">
      <w:pPr>
        <w:widowControl w:val="0"/>
        <w:numPr>
          <w:ilvl w:val="0"/>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Reproject to WGS84</w:t>
      </w:r>
    </w:p>
    <w:p w14:paraId="1CB017A8">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ArcToolbox → Project Raster</w:t>
      </w:r>
    </w:p>
    <w:p w14:paraId="1952D988">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Raster: defined GPP layer</w:t>
      </w:r>
    </w:p>
    <w:p w14:paraId="53ACE452">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Output Raster: &lt;###&gt;/MODIS/Processed/GPP_8day_2019_WGS84.tif</w:t>
      </w:r>
    </w:p>
    <w:p w14:paraId="5BE3C52A">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Output Coordinate System: GCS WGS 1984</w:t>
      </w:r>
    </w:p>
    <w:p w14:paraId="4FFE47BD">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Resampling Technique: Bilinear</w:t>
      </w:r>
    </w:p>
    <w:p w14:paraId="45765651">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Cell Size: 500 m</w:t>
      </w:r>
    </w:p>
    <w:p w14:paraId="30ABE098">
      <w:pPr>
        <w:widowControl w:val="0"/>
        <w:numPr>
          <w:ilvl w:val="2"/>
          <w:numId w:val="3"/>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Processing Extent &amp; Snap Raster: set to a reference DEM to maintain grid alignment</w:t>
      </w:r>
    </w:p>
    <w:p w14:paraId="76EE0E88">
      <w:pPr>
        <w:widowControl w:val="0"/>
        <w:spacing w:line="360" w:lineRule="auto"/>
        <w:jc w:val="both"/>
        <w:rPr>
          <w:rFonts w:ascii="Times New Roman" w:hAnsi="Times New Roman" w:eastAsia="楷体" w:cs="Times New Roman"/>
          <w:b/>
          <w:bCs/>
          <w:color w:val="auto"/>
          <w:sz w:val="24"/>
        </w:rPr>
      </w:pPr>
      <w:r>
        <w:rPr>
          <w:rFonts w:ascii="Times New Roman" w:hAnsi="Times New Roman" w:eastAsia="楷体" w:cs="Times New Roman"/>
          <w:b/>
          <w:bCs/>
          <w:color w:val="auto"/>
          <w:sz w:val="24"/>
          <w:lang w:bidi="ar"/>
        </w:rPr>
        <w:t>3. Quality‐Control &amp; Final Scaling</w:t>
      </w:r>
    </w:p>
    <w:p w14:paraId="1A475E51">
      <w:pPr>
        <w:widowControl w:val="0"/>
        <w:numPr>
          <w:ilvl w:val="0"/>
          <w:numId w:val="4"/>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Software &amp; Tools: ArcMap Spatial Analyst, Raster Calculator</w:t>
      </w:r>
    </w:p>
    <w:p w14:paraId="31F246B9">
      <w:pPr>
        <w:widowControl w:val="0"/>
        <w:numPr>
          <w:ilvl w:val="0"/>
          <w:numId w:val="4"/>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Detailed Steps:</w:t>
      </w:r>
    </w:p>
    <w:p w14:paraId="16A0218B">
      <w:pPr>
        <w:widowControl w:val="0"/>
        <w:numPr>
          <w:ilvl w:val="0"/>
          <w:numId w:val="5"/>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Mask Low‐Quality Pixels</w:t>
      </w:r>
    </w:p>
    <w:p w14:paraId="7ED3AF5E">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Raster Calculator:</w:t>
      </w:r>
    </w:p>
    <w:p w14:paraId="17A44498">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 xml:space="preserve">QC_mask = Con("Psn_QC_500m" == 0, "GPP_float", None)  </w:t>
      </w:r>
    </w:p>
    <w:p w14:paraId="61828D2A">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This keeps only pixels with MODLAND QC = 0.</w:t>
      </w:r>
    </w:p>
    <w:p w14:paraId="3069A1B6">
      <w:pPr>
        <w:widowControl w:val="0"/>
        <w:numPr>
          <w:ilvl w:val="0"/>
          <w:numId w:val="5"/>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Apply Scale Factor</w:t>
      </w:r>
    </w:p>
    <w:p w14:paraId="740443D8">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Already applied in Step 1; confirm that QC_mask remains in units kg C m⁻² per 8 days.</w:t>
      </w:r>
    </w:p>
    <w:p w14:paraId="04DDF550">
      <w:pPr>
        <w:widowControl w:val="0"/>
        <w:numPr>
          <w:ilvl w:val="0"/>
          <w:numId w:val="5"/>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Batch Automate (optional)</w:t>
      </w:r>
    </w:p>
    <w:p w14:paraId="26733F56">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 ModelBuilder, iterate over all 46 HDF files per year feeding through Define Projection → Project Raster → Raster Calculator.</w:t>
      </w:r>
    </w:p>
    <w:p w14:paraId="71C3667B">
      <w:pPr>
        <w:spacing w:line="360" w:lineRule="auto"/>
        <w:ind w:firstLine="480" w:firstLineChars="200"/>
        <w:jc w:val="center"/>
        <w:rPr>
          <w:color w:val="auto"/>
          <w:sz w:val="24"/>
        </w:rPr>
      </w:pPr>
      <w:r>
        <w:rPr>
          <w:rFonts w:ascii="Times New Roman" w:hAnsi="Times New Roman" w:eastAsia="楷体" w:cs="Times New Roman"/>
          <w:color w:val="auto"/>
          <w:sz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76E6E340">
      <w:pPr>
        <w:widowControl w:val="0"/>
        <w:spacing w:line="360" w:lineRule="auto"/>
        <w:jc w:val="both"/>
        <w:rPr>
          <w:rFonts w:ascii="Times New Roman" w:hAnsi="Times New Roman" w:eastAsia="楷体" w:cs="Times New Roman"/>
          <w:b/>
          <w:bCs/>
          <w:color w:val="auto"/>
          <w:sz w:val="24"/>
        </w:rPr>
      </w:pPr>
      <w:r>
        <w:rPr>
          <w:rFonts w:ascii="Times New Roman" w:hAnsi="Times New Roman" w:eastAsia="楷体" w:cs="Times New Roman"/>
          <w:b/>
          <w:bCs/>
          <w:color w:val="auto"/>
          <w:sz w:val="24"/>
          <w:lang w:bidi="ar"/>
        </w:rPr>
        <w:t>4. Annual Aggregation</w:t>
      </w:r>
    </w:p>
    <w:p w14:paraId="58E67179">
      <w:pPr>
        <w:widowControl w:val="0"/>
        <w:numPr>
          <w:ilvl w:val="0"/>
          <w:numId w:val="6"/>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Software &amp; Tools: ArcMap Spatial Analyst “Cell Statistics”</w:t>
      </w:r>
    </w:p>
    <w:p w14:paraId="79C0379C">
      <w:pPr>
        <w:widowControl w:val="0"/>
        <w:numPr>
          <w:ilvl w:val="0"/>
          <w:numId w:val="6"/>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Detailed Steps:</w:t>
      </w:r>
    </w:p>
    <w:p w14:paraId="059F1DF9">
      <w:pPr>
        <w:widowControl w:val="0"/>
        <w:numPr>
          <w:ilvl w:val="0"/>
          <w:numId w:val="7"/>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Load All 46 GPP_8day rasters for a given year into a new ArcMap session.</w:t>
      </w:r>
    </w:p>
    <w:p w14:paraId="054DD6FA">
      <w:pPr>
        <w:widowControl w:val="0"/>
        <w:numPr>
          <w:ilvl w:val="0"/>
          <w:numId w:val="7"/>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Cell Statistics</w:t>
      </w:r>
    </w:p>
    <w:p w14:paraId="268A246A">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ArcToolbox → Spatial Analyst Tools → Local → Cell Statistics</w:t>
      </w:r>
    </w:p>
    <w:p w14:paraId="42E62396">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rasters: select all 46 8-day layers</w:t>
      </w:r>
    </w:p>
    <w:p w14:paraId="3F466D7A">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Statistics type: SUM</w:t>
      </w:r>
    </w:p>
    <w:p w14:paraId="1B0259BC">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Output raster: &lt;###&gt;/MODIS/Annual/GPP_annual_2019.tif (units: kg C m⁻² a⁻¹)</w:t>
      </w:r>
    </w:p>
    <w:p w14:paraId="61BB7A34">
      <w:pPr>
        <w:widowControl w:val="0"/>
        <w:numPr>
          <w:ilvl w:val="0"/>
          <w:numId w:val="7"/>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Repeat for 2020, 2021 either manually or via ModelBuilder batch iterator.</w:t>
      </w:r>
    </w:p>
    <w:p w14:paraId="13238798">
      <w:pPr>
        <w:spacing w:line="360" w:lineRule="auto"/>
        <w:ind w:firstLine="480" w:firstLineChars="200"/>
        <w:jc w:val="center"/>
        <w:rPr>
          <w:color w:val="auto"/>
          <w:sz w:val="24"/>
        </w:rPr>
      </w:pPr>
      <w:r>
        <w:rPr>
          <w:rFonts w:ascii="Times New Roman" w:hAnsi="Times New Roman" w:eastAsia="楷体" w:cs="Times New Roman"/>
          <w:color w:val="auto"/>
          <w:sz w:val="24"/>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213CC14B">
      <w:pPr>
        <w:widowControl w:val="0"/>
        <w:spacing w:line="360" w:lineRule="auto"/>
        <w:jc w:val="both"/>
        <w:rPr>
          <w:rFonts w:ascii="Times New Roman" w:hAnsi="Times New Roman" w:eastAsia="楷体" w:cs="Times New Roman"/>
          <w:b/>
          <w:bCs/>
          <w:color w:val="auto"/>
          <w:sz w:val="24"/>
        </w:rPr>
      </w:pPr>
      <w:r>
        <w:rPr>
          <w:rFonts w:ascii="Times New Roman" w:hAnsi="Times New Roman" w:eastAsia="楷体" w:cs="Times New Roman"/>
          <w:b/>
          <w:bCs/>
          <w:color w:val="auto"/>
          <w:sz w:val="24"/>
          <w:lang w:bidi="ar"/>
        </w:rPr>
        <w:t>5. Site-Level Extraction &amp; Validation</w:t>
      </w:r>
    </w:p>
    <w:p w14:paraId="36B5B8B0">
      <w:pPr>
        <w:widowControl w:val="0"/>
        <w:numPr>
          <w:ilvl w:val="0"/>
          <w:numId w:val="8"/>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Software &amp; Tools:</w:t>
      </w:r>
    </w:p>
    <w:p w14:paraId="25FDECE8">
      <w:pPr>
        <w:widowControl w:val="0"/>
        <w:spacing w:line="360" w:lineRule="auto"/>
        <w:ind w:left="114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ArcMap Spatial Analyst “Extract Multi Values to Points”</w:t>
      </w:r>
    </w:p>
    <w:p w14:paraId="41B18274">
      <w:pPr>
        <w:widowControl w:val="0"/>
        <w:spacing w:line="360" w:lineRule="auto"/>
        <w:ind w:left="114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Microsoft Excel</w:t>
      </w:r>
    </w:p>
    <w:p w14:paraId="74197748">
      <w:pPr>
        <w:widowControl w:val="0"/>
        <w:numPr>
          <w:ilvl w:val="0"/>
          <w:numId w:val="8"/>
        </w:numPr>
        <w:spacing w:line="360" w:lineRule="auto"/>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Detailed Steps:</w:t>
      </w:r>
    </w:p>
    <w:p w14:paraId="39772559">
      <w:pPr>
        <w:widowControl w:val="0"/>
        <w:numPr>
          <w:ilvl w:val="0"/>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Prepare Sampling Points</w:t>
      </w:r>
    </w:p>
    <w:p w14:paraId="1C25A46A">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Load &lt;###&gt;/FieldData/TP_Sites.shp (2,040 points).</w:t>
      </w:r>
    </w:p>
    <w:p w14:paraId="42C0C4D1">
      <w:pPr>
        <w:widowControl w:val="0"/>
        <w:numPr>
          <w:ilvl w:val="0"/>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Extract Multi Values</w:t>
      </w:r>
    </w:p>
    <w:p w14:paraId="0F22E1DB">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ArcToolbox → Spatial Analyst → Extraction → Extract Multi Values to Points</w:t>
      </w:r>
    </w:p>
    <w:p w14:paraId="7C5D7671">
      <w:pPr>
        <w:widowControl w:val="0"/>
        <w:numPr>
          <w:ilvl w:val="2"/>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point features: TP_Sites.shp</w:t>
      </w:r>
    </w:p>
    <w:p w14:paraId="1500BCA1">
      <w:pPr>
        <w:widowControl w:val="0"/>
        <w:numPr>
          <w:ilvl w:val="2"/>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Input rasters &amp; field names:</w:t>
      </w:r>
    </w:p>
    <w:p w14:paraId="45438CA6">
      <w:pPr>
        <w:widowControl w:val="0"/>
        <w:numPr>
          <w:ilvl w:val="3"/>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GPP_annual_2019.tif → GPP2019</w:t>
      </w:r>
    </w:p>
    <w:p w14:paraId="4086D43A">
      <w:pPr>
        <w:widowControl w:val="0"/>
        <w:numPr>
          <w:ilvl w:val="3"/>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GPP_annual_2020.tif → GPP2020</w:t>
      </w:r>
    </w:p>
    <w:p w14:paraId="2EC7AAB5">
      <w:pPr>
        <w:widowControl w:val="0"/>
        <w:numPr>
          <w:ilvl w:val="3"/>
          <w:numId w:val="9"/>
        </w:numPr>
        <w:spacing w:line="360" w:lineRule="auto"/>
        <w:ind w:firstLine="480" w:firstLineChars="20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GPP_annual_2021.tif → GPP2021</w:t>
      </w:r>
    </w:p>
    <w:p w14:paraId="4E61872D">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Click OK to append three new fields in the attribute table.</w:t>
      </w:r>
    </w:p>
    <w:p w14:paraId="6AB1A2CB">
      <w:pPr>
        <w:widowControl w:val="0"/>
        <w:spacing w:line="360" w:lineRule="auto"/>
        <w:ind w:left="1860"/>
        <w:jc w:val="both"/>
        <w:rPr>
          <w:rFonts w:ascii="Times New Roman" w:hAnsi="Times New Roman" w:eastAsia="楷体" w:cs="Times New Roman"/>
          <w:color w:val="auto"/>
          <w:sz w:val="24"/>
        </w:rPr>
      </w:pPr>
      <w:r>
        <w:rPr>
          <w:rFonts w:ascii="Times New Roman" w:hAnsi="Times New Roman" w:eastAsia="楷体" w:cs="Times New Roman"/>
          <w:color w:val="auto"/>
          <w:sz w:val="24"/>
          <w:lang w:bidi="ar"/>
        </w:rPr>
        <w:t>Right-click TP_Sites layer → Data → Export Table → CSV.</w:t>
      </w:r>
    </w:p>
    <w:p w14:paraId="1CF3576E">
      <w:pPr>
        <w:widowControl w:val="0"/>
        <w:spacing w:line="360" w:lineRule="auto"/>
        <w:jc w:val="both"/>
        <w:rPr>
          <w:rFonts w:ascii="Times New Roman" w:hAnsi="Times New Roman" w:eastAsia="楷体" w:cs="Times New Roman"/>
          <w:color w:val="auto"/>
          <w:sz w:val="24"/>
        </w:rPr>
      </w:pPr>
      <w:r>
        <w:rPr>
          <w:rFonts w:ascii="Times New Roman" w:hAnsi="Times New Roman" w:eastAsia="楷体" w:cs="Times New Roman"/>
          <w:b/>
          <w:bCs/>
          <w:color w:val="auto"/>
          <w:sz w:val="24"/>
          <w:lang w:bidi="ar"/>
        </w:rPr>
        <w:t>6. Calculate the mean value</w:t>
      </w:r>
      <w:r>
        <w:rPr>
          <w:rFonts w:ascii="Times New Roman" w:hAnsi="Times New Roman" w:eastAsia="楷体" w:cs="Times New Roman"/>
          <w:color w:val="auto"/>
          <w:sz w:val="24"/>
          <w:lang w:bidi="ar"/>
        </w:rPr>
        <w:t>: the GPP data of 2040 sample points on the Tibetan Plateau for 2019-2021 obtained from the above steps will be averaged in Excel.</w:t>
      </w:r>
    </w:p>
    <w:p w14:paraId="6933B83B">
      <w:pPr>
        <w:rPr>
          <w:rFonts w:ascii="Times New Roman" w:hAnsi="Times New Roman" w:eastAsia="楷体" w:cs="Times New Roman"/>
          <w:b/>
          <w:color w:val="auto"/>
          <w:sz w:val="24"/>
          <w:szCs w:val="28"/>
          <w:lang w:bidi="ar"/>
        </w:rPr>
      </w:pPr>
    </w:p>
    <w:p w14:paraId="62B180E0">
      <w:pPr>
        <w:rPr>
          <w:rFonts w:ascii="Times New Roman" w:hAnsi="Times New Roman" w:eastAsia="宋体" w:cs="Times New Roman"/>
          <w:b/>
          <w:color w:val="auto"/>
          <w:kern w:val="0"/>
        </w:rPr>
      </w:pPr>
    </w:p>
    <w:p w14:paraId="6C0240D0">
      <w:pPr>
        <w:rPr>
          <w:color w:val="auto"/>
        </w:rPr>
      </w:pPr>
      <w:r>
        <w:rPr>
          <w:color w:val="auto"/>
        </w:rPr>
        <w:br w:type="page"/>
      </w:r>
    </w:p>
    <w:p w14:paraId="20ED031B">
      <w:pPr>
        <w:pStyle w:val="32"/>
        <w:jc w:val="both"/>
        <w:rPr>
          <w:color w:val="auto"/>
        </w:rPr>
      </w:pPr>
      <w:r>
        <w:rPr>
          <w:color w:val="auto"/>
        </w:rPr>
        <w:t xml:space="preserve">Table </w:t>
      </w:r>
      <w:r>
        <w:rPr>
          <w:rFonts w:hint="eastAsia"/>
          <w:color w:val="auto"/>
        </w:rPr>
        <w:t>S1</w:t>
      </w:r>
      <w:r>
        <w:rPr>
          <w:color w:val="auto"/>
        </w:rPr>
        <w:t>Assessment of the accuracy of the SEM model-based ‘engine’ framework for predicting total primary productivity in different community types</w:t>
      </w:r>
    </w:p>
    <w:tbl>
      <w:tblPr>
        <w:tblStyle w:val="8"/>
        <w:tblW w:w="0" w:type="auto"/>
        <w:jc w:val="center"/>
        <w:tblLayout w:type="autofit"/>
        <w:tblCellMar>
          <w:top w:w="0" w:type="dxa"/>
          <w:left w:w="108" w:type="dxa"/>
          <w:bottom w:w="0" w:type="dxa"/>
          <w:right w:w="108" w:type="dxa"/>
        </w:tblCellMar>
      </w:tblPr>
      <w:tblGrid>
        <w:gridCol w:w="1885"/>
        <w:gridCol w:w="584"/>
        <w:gridCol w:w="1264"/>
        <w:gridCol w:w="412"/>
        <w:gridCol w:w="689"/>
        <w:gridCol w:w="899"/>
        <w:gridCol w:w="1011"/>
        <w:gridCol w:w="794"/>
      </w:tblGrid>
      <w:tr w14:paraId="3A3FA757">
        <w:tblPrEx>
          <w:tblCellMar>
            <w:top w:w="0" w:type="dxa"/>
            <w:left w:w="108" w:type="dxa"/>
            <w:bottom w:w="0" w:type="dxa"/>
            <w:right w:w="108" w:type="dxa"/>
          </w:tblCellMar>
        </w:tblPrEx>
        <w:trPr>
          <w:trHeight w:val="567" w:hRule="atLeast"/>
          <w:jc w:val="center"/>
        </w:trPr>
        <w:tc>
          <w:tcPr>
            <w:tcW w:w="0" w:type="auto"/>
            <w:tcBorders>
              <w:top w:val="single" w:color="000000" w:sz="8" w:space="0"/>
              <w:left w:val="nil"/>
              <w:bottom w:val="single" w:color="000000" w:sz="8" w:space="0"/>
              <w:right w:val="nil"/>
            </w:tcBorders>
            <w:shd w:val="clear" w:color="auto" w:fill="BFBFBF"/>
            <w:noWrap/>
            <w:vAlign w:val="center"/>
          </w:tcPr>
          <w:p w14:paraId="012C320E">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Community types</w:t>
            </w:r>
          </w:p>
        </w:tc>
        <w:tc>
          <w:tcPr>
            <w:tcW w:w="0" w:type="auto"/>
            <w:tcBorders>
              <w:top w:val="single" w:color="000000" w:sz="8" w:space="0"/>
              <w:left w:val="nil"/>
              <w:bottom w:val="single" w:color="000000" w:sz="8" w:space="0"/>
              <w:right w:val="nil"/>
            </w:tcBorders>
            <w:shd w:val="clear" w:color="auto" w:fill="BFBFBF"/>
            <w:noWrap/>
            <w:vAlign w:val="center"/>
          </w:tcPr>
          <w:p w14:paraId="5B1635B9">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R</w:t>
            </w:r>
            <w:r>
              <w:rPr>
                <w:rFonts w:ascii="Times New Roman" w:hAnsi="Times New Roman" w:eastAsia="宋体" w:cs="Times New Roman"/>
                <w:b/>
                <w:bCs/>
                <w:color w:val="auto"/>
                <w:sz w:val="22"/>
                <w:szCs w:val="22"/>
                <w:vertAlign w:val="superscript"/>
              </w:rPr>
              <w:t>2</w:t>
            </w:r>
            <w:r>
              <w:rPr>
                <w:rFonts w:ascii="Segoe UI Symbol" w:hAnsi="Segoe UI Symbol" w:eastAsia="宋体" w:cs="Segoe UI Symbol"/>
                <w:b/>
                <w:bCs/>
                <w:color w:val="auto"/>
                <w:sz w:val="22"/>
                <w:szCs w:val="22"/>
                <w:vertAlign w:val="superscript"/>
              </w:rPr>
              <w:t>✝</w:t>
            </w:r>
          </w:p>
        </w:tc>
        <w:tc>
          <w:tcPr>
            <w:tcW w:w="0" w:type="auto"/>
            <w:tcBorders>
              <w:top w:val="single" w:color="000000" w:sz="8" w:space="0"/>
              <w:left w:val="nil"/>
              <w:bottom w:val="single" w:color="000000" w:sz="8" w:space="0"/>
              <w:right w:val="nil"/>
            </w:tcBorders>
            <w:shd w:val="clear" w:color="auto" w:fill="BFBFBF"/>
            <w:noWrap/>
            <w:vAlign w:val="center"/>
          </w:tcPr>
          <w:p w14:paraId="1DB4696B">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Chi-square</w:t>
            </w:r>
          </w:p>
        </w:tc>
        <w:tc>
          <w:tcPr>
            <w:tcW w:w="0" w:type="auto"/>
            <w:tcBorders>
              <w:top w:val="single" w:color="000000" w:sz="8" w:space="0"/>
              <w:left w:val="nil"/>
              <w:bottom w:val="single" w:color="000000" w:sz="8" w:space="0"/>
              <w:right w:val="nil"/>
            </w:tcBorders>
            <w:shd w:val="clear" w:color="auto" w:fill="BFBFBF"/>
            <w:noWrap/>
            <w:vAlign w:val="center"/>
          </w:tcPr>
          <w:p w14:paraId="50C72F71">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df</w:t>
            </w:r>
          </w:p>
        </w:tc>
        <w:tc>
          <w:tcPr>
            <w:tcW w:w="0" w:type="auto"/>
            <w:tcBorders>
              <w:top w:val="single" w:color="000000" w:sz="8" w:space="0"/>
              <w:left w:val="nil"/>
              <w:bottom w:val="single" w:color="000000" w:sz="8" w:space="0"/>
              <w:right w:val="nil"/>
            </w:tcBorders>
            <w:shd w:val="clear" w:color="auto" w:fill="BFBFBF"/>
            <w:noWrap/>
            <w:vAlign w:val="center"/>
          </w:tcPr>
          <w:p w14:paraId="79856E26">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P</w:t>
            </w:r>
          </w:p>
        </w:tc>
        <w:tc>
          <w:tcPr>
            <w:tcW w:w="0" w:type="auto"/>
            <w:tcBorders>
              <w:top w:val="single" w:color="000000" w:sz="8" w:space="0"/>
              <w:left w:val="nil"/>
              <w:bottom w:val="single" w:color="000000" w:sz="8" w:space="0"/>
              <w:right w:val="nil"/>
            </w:tcBorders>
            <w:shd w:val="clear" w:color="auto" w:fill="BFBFBF"/>
            <w:noWrap/>
            <w:vAlign w:val="center"/>
          </w:tcPr>
          <w:p w14:paraId="44743785">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sz w:val="22"/>
                <w:szCs w:val="22"/>
              </w:rPr>
              <w:t>GFI</w:t>
            </w:r>
          </w:p>
        </w:tc>
        <w:tc>
          <w:tcPr>
            <w:tcW w:w="0" w:type="auto"/>
            <w:tcBorders>
              <w:top w:val="single" w:color="000000" w:sz="8" w:space="0"/>
              <w:left w:val="nil"/>
              <w:bottom w:val="single" w:color="000000" w:sz="8" w:space="0"/>
              <w:right w:val="nil"/>
            </w:tcBorders>
            <w:shd w:val="clear" w:color="auto" w:fill="BFBFBF"/>
            <w:noWrap/>
            <w:vAlign w:val="center"/>
          </w:tcPr>
          <w:p w14:paraId="5E0EA7E7">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RMSEA</w:t>
            </w:r>
          </w:p>
        </w:tc>
        <w:tc>
          <w:tcPr>
            <w:tcW w:w="0" w:type="auto"/>
            <w:tcBorders>
              <w:top w:val="single" w:color="000000" w:sz="8" w:space="0"/>
              <w:left w:val="nil"/>
              <w:bottom w:val="single" w:color="000000" w:sz="8" w:space="0"/>
              <w:right w:val="nil"/>
            </w:tcBorders>
            <w:shd w:val="clear" w:color="auto" w:fill="BFBFBF"/>
            <w:noWrap/>
            <w:vAlign w:val="center"/>
          </w:tcPr>
          <w:p w14:paraId="1656CB95">
            <w:pPr>
              <w:snapToGrid w:val="0"/>
              <w:jc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AIC</w:t>
            </w:r>
          </w:p>
        </w:tc>
      </w:tr>
      <w:tr w14:paraId="712FE38F">
        <w:tblPrEx>
          <w:tblCellMar>
            <w:top w:w="0" w:type="dxa"/>
            <w:left w:w="108" w:type="dxa"/>
            <w:bottom w:w="0" w:type="dxa"/>
            <w:right w:w="108" w:type="dxa"/>
          </w:tblCellMar>
        </w:tblPrEx>
        <w:trPr>
          <w:trHeight w:val="282" w:hRule="atLeast"/>
          <w:jc w:val="center"/>
        </w:trPr>
        <w:tc>
          <w:tcPr>
            <w:tcW w:w="0" w:type="auto"/>
            <w:tcBorders>
              <w:top w:val="single" w:color="000000" w:sz="8" w:space="0"/>
              <w:left w:val="nil"/>
              <w:bottom w:val="nil"/>
              <w:right w:val="nil"/>
            </w:tcBorders>
            <w:shd w:val="clear" w:color="auto" w:fill="auto"/>
            <w:vAlign w:val="center"/>
          </w:tcPr>
          <w:p w14:paraId="4B18B3D7">
            <w:pPr>
              <w:snapToGrid w:val="0"/>
              <w:rPr>
                <w:rFonts w:ascii="Times New Roman" w:hAnsi="Times New Roman" w:eastAsia="宋体" w:cs="Times New Roman"/>
                <w:color w:val="auto"/>
              </w:rPr>
            </w:pPr>
            <w:r>
              <w:rPr>
                <w:rFonts w:ascii="Times New Roman" w:hAnsi="Times New Roman" w:eastAsia="宋体" w:cs="Times New Roman"/>
                <w:color w:val="auto"/>
              </w:rPr>
              <w:t>Forest</w:t>
            </w:r>
          </w:p>
        </w:tc>
        <w:tc>
          <w:tcPr>
            <w:tcW w:w="0" w:type="auto"/>
            <w:tcBorders>
              <w:top w:val="single" w:color="000000" w:sz="8" w:space="0"/>
              <w:left w:val="nil"/>
              <w:bottom w:val="nil"/>
              <w:right w:val="nil"/>
            </w:tcBorders>
            <w:shd w:val="clear" w:color="auto" w:fill="auto"/>
            <w:noWrap/>
            <w:vAlign w:val="center"/>
          </w:tcPr>
          <w:p w14:paraId="5669C66D">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0.45</w:t>
            </w:r>
          </w:p>
        </w:tc>
        <w:tc>
          <w:tcPr>
            <w:tcW w:w="0" w:type="auto"/>
            <w:tcBorders>
              <w:top w:val="single" w:color="000000" w:sz="8" w:space="0"/>
              <w:left w:val="nil"/>
              <w:bottom w:val="nil"/>
              <w:right w:val="nil"/>
            </w:tcBorders>
            <w:shd w:val="clear" w:color="auto" w:fill="auto"/>
            <w:noWrap/>
            <w:vAlign w:val="center"/>
          </w:tcPr>
          <w:p w14:paraId="4A1A552C">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4.281</w:t>
            </w:r>
          </w:p>
        </w:tc>
        <w:tc>
          <w:tcPr>
            <w:tcW w:w="0" w:type="auto"/>
            <w:tcBorders>
              <w:top w:val="single" w:color="000000" w:sz="8" w:space="0"/>
              <w:left w:val="nil"/>
              <w:bottom w:val="nil"/>
              <w:right w:val="nil"/>
            </w:tcBorders>
            <w:shd w:val="clear" w:color="auto" w:fill="auto"/>
            <w:noWrap/>
            <w:vAlign w:val="center"/>
          </w:tcPr>
          <w:p w14:paraId="7D16BB5B">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5</w:t>
            </w:r>
          </w:p>
        </w:tc>
        <w:tc>
          <w:tcPr>
            <w:tcW w:w="0" w:type="auto"/>
            <w:tcBorders>
              <w:top w:val="single" w:color="000000" w:sz="8" w:space="0"/>
              <w:left w:val="nil"/>
              <w:bottom w:val="nil"/>
              <w:right w:val="nil"/>
            </w:tcBorders>
            <w:shd w:val="clear" w:color="auto" w:fill="auto"/>
            <w:noWrap/>
            <w:vAlign w:val="center"/>
          </w:tcPr>
          <w:p w14:paraId="1889293D">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0.437</w:t>
            </w:r>
          </w:p>
        </w:tc>
        <w:tc>
          <w:tcPr>
            <w:tcW w:w="0" w:type="auto"/>
            <w:tcBorders>
              <w:top w:val="single" w:color="000000" w:sz="8" w:space="0"/>
              <w:left w:val="nil"/>
              <w:bottom w:val="nil"/>
              <w:right w:val="nil"/>
            </w:tcBorders>
            <w:shd w:val="clear" w:color="auto" w:fill="auto"/>
            <w:noWrap/>
            <w:vAlign w:val="center"/>
          </w:tcPr>
          <w:p w14:paraId="5EDB0C99">
            <w:pPr>
              <w:snapToGrid w:val="0"/>
              <w:rPr>
                <w:rFonts w:ascii="Times New Roman" w:hAnsi="Times New Roman" w:eastAsia="宋体" w:cs="Times New Roman"/>
                <w:color w:val="auto"/>
              </w:rPr>
            </w:pPr>
            <w:r>
              <w:rPr>
                <w:rFonts w:hint="eastAsia" w:ascii="Times New Roman" w:hAnsi="Times New Roman" w:eastAsia="宋体" w:cs="Times New Roman"/>
                <w:color w:val="auto"/>
                <w:kern w:val="0"/>
                <w:szCs w:val="21"/>
                <w:lang w:bidi="ar"/>
              </w:rPr>
              <w:t>＞</w:t>
            </w:r>
            <w:r>
              <w:rPr>
                <w:rFonts w:ascii="Times New Roman" w:hAnsi="Times New Roman" w:eastAsia="宋体" w:cs="Times New Roman"/>
                <w:color w:val="auto"/>
                <w:kern w:val="0"/>
                <w:szCs w:val="21"/>
                <w:lang w:bidi="ar"/>
              </w:rPr>
              <w:t>0.999</w:t>
            </w:r>
          </w:p>
        </w:tc>
        <w:tc>
          <w:tcPr>
            <w:tcW w:w="0" w:type="auto"/>
            <w:tcBorders>
              <w:top w:val="single" w:color="000000" w:sz="8" w:space="0"/>
              <w:left w:val="nil"/>
              <w:bottom w:val="nil"/>
              <w:right w:val="nil"/>
            </w:tcBorders>
            <w:shd w:val="clear" w:color="auto" w:fill="auto"/>
            <w:noWrap/>
            <w:vAlign w:val="center"/>
          </w:tcPr>
          <w:p w14:paraId="2A40091A">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0.691</w:t>
            </w:r>
          </w:p>
        </w:tc>
        <w:tc>
          <w:tcPr>
            <w:tcW w:w="0" w:type="auto"/>
            <w:tcBorders>
              <w:top w:val="single" w:color="000000" w:sz="8" w:space="0"/>
              <w:left w:val="nil"/>
              <w:bottom w:val="nil"/>
              <w:right w:val="nil"/>
            </w:tcBorders>
            <w:shd w:val="clear" w:color="auto" w:fill="auto"/>
            <w:noWrap/>
            <w:vAlign w:val="center"/>
          </w:tcPr>
          <w:p w14:paraId="1E5B3A03">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64.831</w:t>
            </w:r>
          </w:p>
        </w:tc>
      </w:tr>
      <w:tr w14:paraId="30F8B2A8">
        <w:tblPrEx>
          <w:tblCellMar>
            <w:top w:w="0" w:type="dxa"/>
            <w:left w:w="108" w:type="dxa"/>
            <w:bottom w:w="0" w:type="dxa"/>
            <w:right w:w="108" w:type="dxa"/>
          </w:tblCellMar>
        </w:tblPrEx>
        <w:trPr>
          <w:trHeight w:val="282" w:hRule="atLeast"/>
          <w:jc w:val="center"/>
        </w:trPr>
        <w:tc>
          <w:tcPr>
            <w:tcW w:w="0" w:type="auto"/>
            <w:shd w:val="clear" w:color="auto" w:fill="auto"/>
            <w:vAlign w:val="center"/>
          </w:tcPr>
          <w:p w14:paraId="660F25A2">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Shrubland</w:t>
            </w:r>
          </w:p>
        </w:tc>
        <w:tc>
          <w:tcPr>
            <w:tcW w:w="0" w:type="auto"/>
            <w:shd w:val="clear" w:color="auto" w:fill="auto"/>
            <w:vAlign w:val="center"/>
          </w:tcPr>
          <w:p w14:paraId="09020C25">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0.61</w:t>
            </w:r>
          </w:p>
        </w:tc>
        <w:tc>
          <w:tcPr>
            <w:tcW w:w="0" w:type="auto"/>
            <w:shd w:val="clear" w:color="auto" w:fill="auto"/>
            <w:vAlign w:val="center"/>
          </w:tcPr>
          <w:p w14:paraId="23826DAF">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11.739</w:t>
            </w:r>
          </w:p>
        </w:tc>
        <w:tc>
          <w:tcPr>
            <w:tcW w:w="0" w:type="auto"/>
            <w:shd w:val="clear" w:color="auto" w:fill="auto"/>
            <w:vAlign w:val="center"/>
          </w:tcPr>
          <w:p w14:paraId="09CB4A6B">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6</w:t>
            </w:r>
          </w:p>
        </w:tc>
        <w:tc>
          <w:tcPr>
            <w:tcW w:w="0" w:type="auto"/>
            <w:shd w:val="clear" w:color="auto" w:fill="auto"/>
            <w:noWrap/>
            <w:vAlign w:val="center"/>
          </w:tcPr>
          <w:p w14:paraId="033D7B8B">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0.068</w:t>
            </w:r>
          </w:p>
        </w:tc>
        <w:tc>
          <w:tcPr>
            <w:tcW w:w="0" w:type="auto"/>
            <w:shd w:val="clear" w:color="auto" w:fill="auto"/>
            <w:noWrap/>
            <w:vAlign w:val="center"/>
          </w:tcPr>
          <w:p w14:paraId="2E07D94D">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0.97</w:t>
            </w:r>
          </w:p>
        </w:tc>
        <w:tc>
          <w:tcPr>
            <w:tcW w:w="0" w:type="auto"/>
            <w:shd w:val="clear" w:color="auto" w:fill="auto"/>
            <w:noWrap/>
            <w:vAlign w:val="center"/>
          </w:tcPr>
          <w:p w14:paraId="416F6EED">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0.224</w:t>
            </w:r>
          </w:p>
        </w:tc>
        <w:tc>
          <w:tcPr>
            <w:tcW w:w="0" w:type="auto"/>
            <w:shd w:val="clear" w:color="auto" w:fill="auto"/>
            <w:noWrap/>
            <w:vAlign w:val="center"/>
          </w:tcPr>
          <w:p w14:paraId="10EAF008">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69.739</w:t>
            </w:r>
          </w:p>
        </w:tc>
      </w:tr>
      <w:tr w14:paraId="6A4628C4">
        <w:tblPrEx>
          <w:tblCellMar>
            <w:top w:w="0" w:type="dxa"/>
            <w:left w:w="108" w:type="dxa"/>
            <w:bottom w:w="0" w:type="dxa"/>
            <w:right w:w="108" w:type="dxa"/>
          </w:tblCellMar>
        </w:tblPrEx>
        <w:trPr>
          <w:trHeight w:val="282" w:hRule="atLeast"/>
          <w:jc w:val="center"/>
        </w:trPr>
        <w:tc>
          <w:tcPr>
            <w:tcW w:w="0" w:type="auto"/>
            <w:shd w:val="clear" w:color="auto" w:fill="auto"/>
            <w:vAlign w:val="center"/>
          </w:tcPr>
          <w:p w14:paraId="0A1949F7">
            <w:pPr>
              <w:snapToGrid w:val="0"/>
              <w:rPr>
                <w:rFonts w:ascii="Times New Roman" w:hAnsi="Times New Roman" w:eastAsia="宋体" w:cs="Times New Roman"/>
                <w:color w:val="auto"/>
              </w:rPr>
            </w:pPr>
            <w:r>
              <w:rPr>
                <w:rFonts w:ascii="Times New Roman" w:hAnsi="Times New Roman" w:eastAsia="宋体" w:cs="Times New Roman"/>
                <w:color w:val="auto"/>
              </w:rPr>
              <w:t>Grassland</w:t>
            </w:r>
          </w:p>
        </w:tc>
        <w:tc>
          <w:tcPr>
            <w:tcW w:w="0" w:type="auto"/>
            <w:shd w:val="clear" w:color="auto" w:fill="auto"/>
            <w:vAlign w:val="center"/>
          </w:tcPr>
          <w:p w14:paraId="1FA3BAE8">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0.43</w:t>
            </w:r>
          </w:p>
        </w:tc>
        <w:tc>
          <w:tcPr>
            <w:tcW w:w="0" w:type="auto"/>
            <w:shd w:val="clear" w:color="auto" w:fill="auto"/>
            <w:vAlign w:val="center"/>
          </w:tcPr>
          <w:p w14:paraId="470B2360">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1.5</w:t>
            </w:r>
          </w:p>
        </w:tc>
        <w:tc>
          <w:tcPr>
            <w:tcW w:w="0" w:type="auto"/>
            <w:shd w:val="clear" w:color="auto" w:fill="auto"/>
            <w:vAlign w:val="center"/>
          </w:tcPr>
          <w:p w14:paraId="7772A8FE">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2</w:t>
            </w:r>
          </w:p>
        </w:tc>
        <w:tc>
          <w:tcPr>
            <w:tcW w:w="0" w:type="auto"/>
            <w:shd w:val="clear" w:color="auto" w:fill="auto"/>
            <w:noWrap/>
            <w:vAlign w:val="center"/>
          </w:tcPr>
          <w:p w14:paraId="3F0B2DAE">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0.463</w:t>
            </w:r>
          </w:p>
        </w:tc>
        <w:tc>
          <w:tcPr>
            <w:tcW w:w="0" w:type="auto"/>
            <w:shd w:val="clear" w:color="auto" w:fill="auto"/>
            <w:noWrap/>
            <w:vAlign w:val="center"/>
          </w:tcPr>
          <w:p w14:paraId="33F208AB">
            <w:pPr>
              <w:snapToGrid w:val="0"/>
              <w:rPr>
                <w:rFonts w:ascii="Times New Roman" w:hAnsi="Times New Roman" w:eastAsia="宋体" w:cs="Times New Roman"/>
                <w:color w:val="auto"/>
              </w:rPr>
            </w:pPr>
            <w:r>
              <w:rPr>
                <w:rFonts w:hint="eastAsia" w:ascii="Times New Roman" w:hAnsi="Times New Roman" w:eastAsia="宋体" w:cs="Times New Roman"/>
                <w:color w:val="auto"/>
                <w:kern w:val="0"/>
                <w:szCs w:val="21"/>
                <w:lang w:bidi="ar"/>
              </w:rPr>
              <w:t>＞</w:t>
            </w:r>
            <w:r>
              <w:rPr>
                <w:rFonts w:ascii="Times New Roman" w:hAnsi="Times New Roman" w:eastAsia="宋体" w:cs="Times New Roman"/>
                <w:color w:val="auto"/>
                <w:kern w:val="0"/>
                <w:szCs w:val="21"/>
                <w:lang w:bidi="ar"/>
              </w:rPr>
              <w:t>0.999</w:t>
            </w:r>
          </w:p>
        </w:tc>
        <w:tc>
          <w:tcPr>
            <w:tcW w:w="0" w:type="auto"/>
            <w:shd w:val="clear" w:color="auto" w:fill="auto"/>
            <w:noWrap/>
            <w:vAlign w:val="center"/>
          </w:tcPr>
          <w:p w14:paraId="60C1B4D7">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0.232</w:t>
            </w:r>
          </w:p>
        </w:tc>
        <w:tc>
          <w:tcPr>
            <w:tcW w:w="0" w:type="auto"/>
            <w:shd w:val="clear" w:color="auto" w:fill="auto"/>
            <w:noWrap/>
            <w:vAlign w:val="center"/>
          </w:tcPr>
          <w:p w14:paraId="7987BEBB">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67.538</w:t>
            </w:r>
          </w:p>
        </w:tc>
      </w:tr>
      <w:tr w14:paraId="22D4F333">
        <w:tblPrEx>
          <w:tblCellMar>
            <w:top w:w="0" w:type="dxa"/>
            <w:left w:w="108" w:type="dxa"/>
            <w:bottom w:w="0" w:type="dxa"/>
            <w:right w:w="108" w:type="dxa"/>
          </w:tblCellMar>
        </w:tblPrEx>
        <w:trPr>
          <w:trHeight w:val="297" w:hRule="atLeast"/>
          <w:jc w:val="center"/>
        </w:trPr>
        <w:tc>
          <w:tcPr>
            <w:tcW w:w="0" w:type="auto"/>
            <w:tcBorders>
              <w:top w:val="nil"/>
              <w:left w:val="nil"/>
              <w:bottom w:val="single" w:color="000000" w:sz="8" w:space="0"/>
              <w:right w:val="nil"/>
            </w:tcBorders>
            <w:shd w:val="clear" w:color="auto" w:fill="auto"/>
            <w:vAlign w:val="center"/>
          </w:tcPr>
          <w:p w14:paraId="4697E3AB">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Desert</w:t>
            </w:r>
          </w:p>
        </w:tc>
        <w:tc>
          <w:tcPr>
            <w:tcW w:w="0" w:type="auto"/>
            <w:tcBorders>
              <w:top w:val="nil"/>
              <w:left w:val="nil"/>
              <w:bottom w:val="single" w:color="000000" w:sz="8" w:space="0"/>
              <w:right w:val="nil"/>
            </w:tcBorders>
            <w:shd w:val="clear" w:color="auto" w:fill="auto"/>
            <w:vAlign w:val="center"/>
          </w:tcPr>
          <w:p w14:paraId="17153844">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0.94</w:t>
            </w:r>
          </w:p>
        </w:tc>
        <w:tc>
          <w:tcPr>
            <w:tcW w:w="0" w:type="auto"/>
            <w:tcBorders>
              <w:top w:val="nil"/>
              <w:left w:val="nil"/>
              <w:bottom w:val="single" w:color="000000" w:sz="8" w:space="0"/>
              <w:right w:val="nil"/>
            </w:tcBorders>
            <w:shd w:val="clear" w:color="auto" w:fill="auto"/>
            <w:vAlign w:val="center"/>
          </w:tcPr>
          <w:p w14:paraId="70571B5F">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3,753</w:t>
            </w:r>
          </w:p>
        </w:tc>
        <w:tc>
          <w:tcPr>
            <w:tcW w:w="0" w:type="auto"/>
            <w:tcBorders>
              <w:top w:val="nil"/>
              <w:left w:val="nil"/>
              <w:bottom w:val="single" w:color="000000" w:sz="8" w:space="0"/>
              <w:right w:val="nil"/>
            </w:tcBorders>
            <w:shd w:val="clear" w:color="auto" w:fill="auto"/>
            <w:vAlign w:val="center"/>
          </w:tcPr>
          <w:p w14:paraId="37C80A3D">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3</w:t>
            </w:r>
          </w:p>
        </w:tc>
        <w:tc>
          <w:tcPr>
            <w:tcW w:w="0" w:type="auto"/>
            <w:tcBorders>
              <w:top w:val="nil"/>
              <w:left w:val="nil"/>
              <w:bottom w:val="single" w:color="000000" w:sz="8" w:space="0"/>
              <w:right w:val="nil"/>
            </w:tcBorders>
            <w:shd w:val="clear" w:color="auto" w:fill="auto"/>
            <w:noWrap/>
            <w:vAlign w:val="center"/>
          </w:tcPr>
          <w:p w14:paraId="2B468B6E">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0.289</w:t>
            </w:r>
          </w:p>
        </w:tc>
        <w:tc>
          <w:tcPr>
            <w:tcW w:w="0" w:type="auto"/>
            <w:tcBorders>
              <w:top w:val="nil"/>
              <w:left w:val="nil"/>
              <w:bottom w:val="single" w:color="000000" w:sz="8" w:space="0"/>
              <w:right w:val="nil"/>
            </w:tcBorders>
            <w:shd w:val="clear" w:color="auto" w:fill="auto"/>
            <w:noWrap/>
            <w:vAlign w:val="center"/>
          </w:tcPr>
          <w:p w14:paraId="278A7E3F">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0.98</w:t>
            </w:r>
          </w:p>
        </w:tc>
        <w:tc>
          <w:tcPr>
            <w:tcW w:w="0" w:type="auto"/>
            <w:tcBorders>
              <w:top w:val="nil"/>
              <w:left w:val="nil"/>
              <w:bottom w:val="single" w:color="000000" w:sz="8" w:space="0"/>
              <w:right w:val="nil"/>
            </w:tcBorders>
            <w:shd w:val="clear" w:color="auto" w:fill="auto"/>
            <w:noWrap/>
            <w:vAlign w:val="center"/>
          </w:tcPr>
          <w:p w14:paraId="5B7E8EC9">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0.429</w:t>
            </w:r>
          </w:p>
        </w:tc>
        <w:tc>
          <w:tcPr>
            <w:tcW w:w="0" w:type="auto"/>
            <w:tcBorders>
              <w:top w:val="nil"/>
              <w:left w:val="nil"/>
              <w:bottom w:val="single" w:color="000000" w:sz="8" w:space="0"/>
              <w:right w:val="nil"/>
            </w:tcBorders>
            <w:shd w:val="clear" w:color="auto" w:fill="auto"/>
            <w:noWrap/>
            <w:vAlign w:val="center"/>
          </w:tcPr>
          <w:p w14:paraId="3A148B37">
            <w:pPr>
              <w:snapToGrid w:val="0"/>
              <w:rPr>
                <w:rFonts w:ascii="Times New Roman" w:hAnsi="Times New Roman" w:eastAsia="宋体" w:cs="Times New Roman"/>
                <w:color w:val="auto"/>
              </w:rPr>
            </w:pPr>
            <w:r>
              <w:rPr>
                <w:rFonts w:ascii="Times New Roman" w:hAnsi="Times New Roman" w:eastAsia="宋体" w:cs="Times New Roman"/>
                <w:color w:val="auto"/>
                <w:kern w:val="0"/>
                <w:szCs w:val="21"/>
                <w:lang w:bidi="ar"/>
              </w:rPr>
              <w:t>67.753</w:t>
            </w:r>
          </w:p>
        </w:tc>
      </w:tr>
    </w:tbl>
    <w:p w14:paraId="126DC80B">
      <w:pPr>
        <w:snapToGrid w:val="0"/>
        <w:spacing w:line="300" w:lineRule="auto"/>
        <w:ind w:firstLine="440" w:firstLineChars="200"/>
        <w:jc w:val="both"/>
        <w:rPr>
          <w:rFonts w:ascii="Times New Roman" w:hAnsi="Times New Roman" w:eastAsia="宋体" w:cs="Times New Roman"/>
          <w:color w:val="auto"/>
          <w:sz w:val="22"/>
          <w:szCs w:val="22"/>
        </w:rPr>
      </w:pPr>
      <w:r>
        <w:rPr>
          <w:rFonts w:hint="eastAsia" w:ascii="Times New Roman" w:hAnsi="Times New Roman" w:eastAsia="宋体" w:cs="Times New Roman"/>
          <w:color w:val="auto"/>
          <w:sz w:val="22"/>
          <w:szCs w:val="22"/>
        </w:rPr>
        <w:t>*</w:t>
      </w:r>
      <w:r>
        <w:rPr>
          <w:rFonts w:ascii="Times New Roman" w:hAnsi="Times New Roman" w:eastAsia="宋体" w:cs="Times New Roman"/>
          <w:color w:val="auto"/>
          <w:sz w:val="22"/>
          <w:szCs w:val="22"/>
        </w:rPr>
        <w:t>This study incorporates the annual mean temperature (MAT), growing season length (L</w:t>
      </w:r>
      <w:r>
        <w:rPr>
          <w:rFonts w:ascii="Times New Roman" w:hAnsi="Times New Roman" w:eastAsia="宋体" w:cs="Times New Roman"/>
          <w:color w:val="auto"/>
          <w:sz w:val="22"/>
          <w:szCs w:val="22"/>
          <w:vertAlign w:val="subscript"/>
        </w:rPr>
        <w:t>gs</w:t>
      </w:r>
      <w:r>
        <w:rPr>
          <w:rFonts w:ascii="Times New Roman" w:hAnsi="Times New Roman" w:eastAsia="宋体" w:cs="Times New Roman"/>
          <w:color w:val="auto"/>
          <w:sz w:val="22"/>
          <w:szCs w:val="22"/>
        </w:rPr>
        <w:t>), nitrogen content (N</w:t>
      </w:r>
      <w:r>
        <w:rPr>
          <w:rFonts w:ascii="Times New Roman" w:hAnsi="Times New Roman" w:eastAsia="宋体" w:cs="Times New Roman"/>
          <w:color w:val="auto"/>
          <w:sz w:val="22"/>
          <w:szCs w:val="22"/>
          <w:vertAlign w:val="subscript"/>
        </w:rPr>
        <w:t>content</w:t>
      </w:r>
      <w:r>
        <w:rPr>
          <w:rFonts w:ascii="Times New Roman" w:hAnsi="Times New Roman" w:eastAsia="宋体" w:cs="Times New Roman"/>
          <w:color w:val="auto"/>
          <w:sz w:val="22"/>
          <w:szCs w:val="22"/>
        </w:rPr>
        <w:t>), nitrogen density (N</w:t>
      </w:r>
      <w:r>
        <w:rPr>
          <w:rFonts w:ascii="Times New Roman" w:hAnsi="Times New Roman" w:eastAsia="宋体" w:cs="Times New Roman"/>
          <w:color w:val="auto"/>
          <w:sz w:val="22"/>
          <w:szCs w:val="22"/>
          <w:vertAlign w:val="subscript"/>
        </w:rPr>
        <w:t>density</w:t>
      </w:r>
      <w:r>
        <w:rPr>
          <w:rFonts w:ascii="Times New Roman" w:hAnsi="Times New Roman" w:eastAsia="宋体" w:cs="Times New Roman"/>
          <w:color w:val="auto"/>
          <w:sz w:val="22"/>
          <w:szCs w:val="22"/>
        </w:rPr>
        <w:t>), phosphorus content (P</w:t>
      </w:r>
      <w:r>
        <w:rPr>
          <w:rFonts w:ascii="Times New Roman" w:hAnsi="Times New Roman" w:eastAsia="宋体" w:cs="Times New Roman"/>
          <w:color w:val="auto"/>
          <w:sz w:val="22"/>
          <w:szCs w:val="22"/>
          <w:vertAlign w:val="subscript"/>
        </w:rPr>
        <w:t>content</w:t>
      </w:r>
      <w:r>
        <w:rPr>
          <w:rFonts w:ascii="Times New Roman" w:hAnsi="Times New Roman" w:eastAsia="宋体" w:cs="Times New Roman"/>
          <w:color w:val="auto"/>
          <w:sz w:val="22"/>
          <w:szCs w:val="22"/>
        </w:rPr>
        <w:t>), and phosphorus density (P</w:t>
      </w:r>
      <w:r>
        <w:rPr>
          <w:rFonts w:ascii="Times New Roman" w:hAnsi="Times New Roman" w:eastAsia="宋体" w:cs="Times New Roman"/>
          <w:color w:val="auto"/>
          <w:sz w:val="22"/>
          <w:szCs w:val="22"/>
          <w:vertAlign w:val="subscript"/>
        </w:rPr>
        <w:t>density</w:t>
      </w:r>
      <w:r>
        <w:rPr>
          <w:rFonts w:ascii="Times New Roman" w:hAnsi="Times New Roman" w:eastAsia="宋体" w:cs="Times New Roman"/>
          <w:color w:val="auto"/>
          <w:sz w:val="22"/>
          <w:szCs w:val="22"/>
        </w:rPr>
        <w:t xml:space="preserve">) into the structural equation model (SEM) to evaluate the impact of these factors on the prediction accuracy of Gross Primary Productivity (GPP) across different community types. </w:t>
      </w:r>
    </w:p>
    <w:p w14:paraId="04B51A45">
      <w:pPr>
        <w:snapToGrid w:val="0"/>
        <w:spacing w:line="300" w:lineRule="auto"/>
        <w:ind w:firstLine="440" w:firstLineChars="200"/>
        <w:jc w:val="both"/>
        <w:rPr>
          <w:rFonts w:ascii="Times New Roman" w:hAnsi="Times New Roman" w:eastAsia="宋体" w:cs="Times New Roman"/>
          <w:color w:val="auto"/>
          <w:sz w:val="22"/>
          <w:szCs w:val="22"/>
        </w:rPr>
      </w:pPr>
      <w:r>
        <w:rPr>
          <w:rFonts w:hint="eastAsia" w:ascii="微软雅黑" w:hAnsi="微软雅黑" w:eastAsia="微软雅黑" w:cs="微软雅黑"/>
          <w:b/>
          <w:bCs/>
          <w:color w:val="auto"/>
          <w:kern w:val="0"/>
          <w:sz w:val="22"/>
          <w:szCs w:val="22"/>
          <w:vertAlign w:val="superscript"/>
          <w:lang w:bidi="ar"/>
        </w:rPr>
        <w:t>✝</w:t>
      </w:r>
      <w:r>
        <w:rPr>
          <w:rFonts w:ascii="Times New Roman" w:hAnsi="Times New Roman" w:eastAsia="宋体" w:cs="Times New Roman"/>
          <w:color w:val="auto"/>
          <w:sz w:val="22"/>
          <w:szCs w:val="22"/>
        </w:rPr>
        <w:t>R² represents the overall explanatory power of the model; Chi-square refers to the goodness-of-fit statistic; df indicates the degrees of freedom; P denotes the significance level. The Goodness-of-Fit Index (GFI) assesses the model’s fit, while the Root Mean Square Error of Approximation (RMSEA) measures the discrepancy between the observed and estimated covariance matrices. The Akaike Information Criterion (AIC) is used to compare the relative fit of different models</w:t>
      </w:r>
    </w:p>
    <w:p w14:paraId="4F52166A">
      <w:pPr>
        <w:rPr>
          <w:rFonts w:ascii="Times New Roman" w:hAnsi="Times New Roman" w:cs="Times New Roman"/>
          <w:color w:val="auto"/>
        </w:rPr>
      </w:pPr>
      <w:r>
        <w:rPr>
          <w:rFonts w:ascii="Times New Roman" w:hAnsi="Times New Roman" w:cs="Times New Roman"/>
          <w:color w:val="auto"/>
        </w:rPr>
        <w:br w:type="page"/>
      </w:r>
    </w:p>
    <w:p w14:paraId="7C33218B">
      <w:pPr>
        <w:spacing w:before="156" w:beforeLines="50" w:after="156" w:afterLines="50"/>
        <w:rPr>
          <w:rFonts w:ascii="Times New Roman" w:hAnsi="Times New Roman" w:eastAsia="宋体" w:cs="Times New Roman"/>
          <w:b/>
          <w:bCs/>
          <w:color w:val="auto"/>
          <w:kern w:val="0"/>
          <w:sz w:val="24"/>
        </w:rPr>
        <w:sectPr>
          <w:pgSz w:w="11906" w:h="16838"/>
          <w:pgMar w:top="1417" w:right="1417" w:bottom="1417" w:left="1417" w:header="851" w:footer="992" w:gutter="0"/>
          <w:cols w:space="0" w:num="1"/>
          <w:docGrid w:type="lines" w:linePitch="312" w:charSpace="0"/>
        </w:sectPr>
      </w:pPr>
    </w:p>
    <w:p w14:paraId="393D86A5">
      <w:pPr>
        <w:rPr>
          <w:rFonts w:ascii="Times New Roman" w:hAnsi="Times New Roman" w:cs="Times New Roman"/>
          <w:b/>
          <w:bCs/>
          <w:color w:val="auto"/>
        </w:rPr>
      </w:pPr>
      <w:r>
        <w:rPr>
          <w:rFonts w:ascii="Times New Roman" w:hAnsi="Times New Roman" w:cs="Times New Roman"/>
          <w:b/>
          <w:bCs/>
          <w:color w:val="auto"/>
        </w:rPr>
        <w:t>Table S</w:t>
      </w:r>
      <w:r>
        <w:rPr>
          <w:rFonts w:hint="eastAsia" w:ascii="Times New Roman" w:hAnsi="Times New Roman" w:cs="Times New Roman"/>
          <w:b/>
          <w:bCs/>
          <w:color w:val="auto"/>
        </w:rPr>
        <w:t>2</w:t>
      </w:r>
      <w:r>
        <w:rPr>
          <w:rFonts w:ascii="Times New Roman" w:hAnsi="Times New Roman" w:cs="Times New Roman"/>
          <w:b/>
          <w:bCs/>
          <w:color w:val="auto"/>
        </w:rPr>
        <w:t>. Information on the impact factor data used in this paper</w:t>
      </w:r>
    </w:p>
    <w:tbl>
      <w:tblPr>
        <w:tblStyle w:val="8"/>
        <w:tblW w:w="9776" w:type="dxa"/>
        <w:tblInd w:w="0" w:type="dxa"/>
        <w:tblLayout w:type="fixed"/>
        <w:tblCellMar>
          <w:top w:w="0" w:type="dxa"/>
          <w:left w:w="108" w:type="dxa"/>
          <w:bottom w:w="0" w:type="dxa"/>
          <w:right w:w="108" w:type="dxa"/>
        </w:tblCellMar>
      </w:tblPr>
      <w:tblGrid>
        <w:gridCol w:w="1797"/>
        <w:gridCol w:w="1947"/>
        <w:gridCol w:w="3496"/>
        <w:gridCol w:w="999"/>
        <w:gridCol w:w="1537"/>
      </w:tblGrid>
      <w:tr w14:paraId="4DA19C08">
        <w:tblPrEx>
          <w:tblCellMar>
            <w:top w:w="0" w:type="dxa"/>
            <w:left w:w="108" w:type="dxa"/>
            <w:bottom w:w="0" w:type="dxa"/>
            <w:right w:w="108" w:type="dxa"/>
          </w:tblCellMar>
        </w:tblPrEx>
        <w:trPr>
          <w:trHeight w:val="576" w:hRule="atLeast"/>
        </w:trPr>
        <w:tc>
          <w:tcPr>
            <w:tcW w:w="1797" w:type="dxa"/>
            <w:tcBorders>
              <w:top w:val="single" w:color="000000" w:sz="8" w:space="0"/>
              <w:left w:val="nil"/>
              <w:bottom w:val="single" w:color="000000" w:sz="8" w:space="0"/>
              <w:right w:val="nil"/>
            </w:tcBorders>
            <w:shd w:val="clear" w:color="auto" w:fill="A4A4A4" w:themeFill="background1" w:themeFillShade="A5"/>
            <w:noWrap/>
            <w:vAlign w:val="center"/>
          </w:tcPr>
          <w:p w14:paraId="26BBB948">
            <w:pPr>
              <w:widowControl w:val="0"/>
              <w:rPr>
                <w:rFonts w:ascii="Times New Roman" w:hAnsi="Times New Roman" w:cs="Times New Roman"/>
                <w:b/>
                <w:bCs/>
                <w:color w:val="auto"/>
              </w:rPr>
            </w:pPr>
            <w:r>
              <w:rPr>
                <w:rFonts w:ascii="Times New Roman" w:hAnsi="Times New Roman" w:cs="Times New Roman"/>
                <w:b/>
                <w:bCs/>
                <w:color w:val="auto"/>
                <w:lang w:bidi="ar"/>
              </w:rPr>
              <w:t>Category</w:t>
            </w:r>
          </w:p>
        </w:tc>
        <w:tc>
          <w:tcPr>
            <w:tcW w:w="1947" w:type="dxa"/>
            <w:tcBorders>
              <w:top w:val="single" w:color="000000" w:sz="8" w:space="0"/>
              <w:left w:val="nil"/>
              <w:bottom w:val="single" w:color="000000" w:sz="8" w:space="0"/>
              <w:right w:val="nil"/>
            </w:tcBorders>
            <w:shd w:val="clear" w:color="auto" w:fill="A4A4A4" w:themeFill="background1" w:themeFillShade="A5"/>
            <w:noWrap/>
            <w:vAlign w:val="center"/>
          </w:tcPr>
          <w:p w14:paraId="57C64980">
            <w:pPr>
              <w:widowControl w:val="0"/>
              <w:rPr>
                <w:rFonts w:ascii="Times New Roman" w:hAnsi="Times New Roman" w:cs="Times New Roman"/>
                <w:b/>
                <w:bCs/>
                <w:color w:val="auto"/>
              </w:rPr>
            </w:pPr>
            <w:r>
              <w:rPr>
                <w:rFonts w:ascii="Times New Roman" w:hAnsi="Times New Roman" w:cs="Times New Roman"/>
                <w:b/>
                <w:bCs/>
                <w:color w:val="auto"/>
                <w:lang w:bidi="ar"/>
              </w:rPr>
              <w:t xml:space="preserve"> Impact Factor</w:t>
            </w:r>
          </w:p>
        </w:tc>
        <w:tc>
          <w:tcPr>
            <w:tcW w:w="3496" w:type="dxa"/>
            <w:tcBorders>
              <w:top w:val="single" w:color="000000" w:sz="8" w:space="0"/>
              <w:left w:val="nil"/>
              <w:bottom w:val="single" w:color="000000" w:sz="8" w:space="0"/>
              <w:right w:val="nil"/>
            </w:tcBorders>
            <w:shd w:val="clear" w:color="auto" w:fill="A4A4A4" w:themeFill="background1" w:themeFillShade="A5"/>
            <w:noWrap/>
            <w:vAlign w:val="center"/>
          </w:tcPr>
          <w:p w14:paraId="4D0AB67A">
            <w:pPr>
              <w:widowControl w:val="0"/>
              <w:rPr>
                <w:rFonts w:ascii="Times New Roman" w:hAnsi="Times New Roman" w:cs="Times New Roman"/>
                <w:b/>
                <w:bCs/>
                <w:color w:val="auto"/>
              </w:rPr>
            </w:pPr>
            <w:r>
              <w:rPr>
                <w:rFonts w:ascii="Times New Roman" w:hAnsi="Times New Roman" w:cs="Times New Roman"/>
                <w:b/>
                <w:bCs/>
                <w:color w:val="auto"/>
                <w:lang w:bidi="ar"/>
              </w:rPr>
              <w:t>Data Source</w:t>
            </w:r>
          </w:p>
        </w:tc>
        <w:tc>
          <w:tcPr>
            <w:tcW w:w="999" w:type="dxa"/>
            <w:tcBorders>
              <w:top w:val="single" w:color="000000" w:sz="8" w:space="0"/>
              <w:left w:val="nil"/>
              <w:bottom w:val="single" w:color="000000" w:sz="8" w:space="0"/>
              <w:right w:val="nil"/>
            </w:tcBorders>
            <w:shd w:val="clear" w:color="auto" w:fill="A4A4A4" w:themeFill="background1" w:themeFillShade="A5"/>
            <w:noWrap/>
            <w:vAlign w:val="center"/>
          </w:tcPr>
          <w:p w14:paraId="136A6AD2">
            <w:pPr>
              <w:widowControl w:val="0"/>
              <w:rPr>
                <w:rFonts w:ascii="Times New Roman" w:hAnsi="Times New Roman" w:cs="Times New Roman"/>
                <w:b/>
                <w:bCs/>
                <w:color w:val="auto"/>
                <w:lang w:bidi="ar"/>
              </w:rPr>
            </w:pPr>
            <w:r>
              <w:rPr>
                <w:rFonts w:hint="eastAsia" w:ascii="Times New Roman" w:hAnsi="Times New Roman" w:cs="Times New Roman"/>
                <w:b/>
                <w:bCs/>
                <w:color w:val="auto"/>
                <w:lang w:bidi="ar"/>
              </w:rPr>
              <w:t>Time scale</w:t>
            </w:r>
          </w:p>
        </w:tc>
        <w:tc>
          <w:tcPr>
            <w:tcW w:w="1537" w:type="dxa"/>
            <w:tcBorders>
              <w:top w:val="single" w:color="000000" w:sz="8" w:space="0"/>
              <w:left w:val="nil"/>
              <w:bottom w:val="single" w:color="000000" w:sz="8" w:space="0"/>
              <w:right w:val="nil"/>
            </w:tcBorders>
            <w:shd w:val="clear" w:color="auto" w:fill="A4A4A4" w:themeFill="background1" w:themeFillShade="A5"/>
            <w:noWrap/>
            <w:vAlign w:val="center"/>
          </w:tcPr>
          <w:p w14:paraId="56246ED1">
            <w:pPr>
              <w:widowControl w:val="0"/>
              <w:rPr>
                <w:rFonts w:ascii="Times New Roman" w:hAnsi="Times New Roman" w:cs="Times New Roman"/>
                <w:b/>
                <w:bCs/>
                <w:color w:val="auto"/>
                <w:lang w:bidi="ar"/>
              </w:rPr>
            </w:pPr>
            <w:r>
              <w:rPr>
                <w:rFonts w:hint="eastAsia" w:ascii="Times New Roman" w:hAnsi="Times New Roman" w:cs="Times New Roman"/>
                <w:b/>
                <w:bCs/>
                <w:color w:val="auto"/>
                <w:lang w:bidi="ar"/>
              </w:rPr>
              <w:t>S</w:t>
            </w:r>
            <w:r>
              <w:rPr>
                <w:rFonts w:ascii="Times New Roman" w:hAnsi="Times New Roman" w:cs="Times New Roman"/>
                <w:b/>
                <w:bCs/>
                <w:color w:val="auto"/>
                <w:lang w:bidi="ar"/>
              </w:rPr>
              <w:t>patial resolution</w:t>
            </w:r>
          </w:p>
        </w:tc>
      </w:tr>
      <w:tr w14:paraId="2AD6A723">
        <w:tblPrEx>
          <w:tblCellMar>
            <w:top w:w="0" w:type="dxa"/>
            <w:left w:w="108" w:type="dxa"/>
            <w:bottom w:w="0" w:type="dxa"/>
            <w:right w:w="108" w:type="dxa"/>
          </w:tblCellMar>
        </w:tblPrEx>
        <w:trPr>
          <w:trHeight w:val="603" w:hRule="atLeast"/>
        </w:trPr>
        <w:tc>
          <w:tcPr>
            <w:tcW w:w="1797" w:type="dxa"/>
            <w:tcBorders>
              <w:top w:val="nil"/>
              <w:left w:val="nil"/>
              <w:bottom w:val="nil"/>
              <w:right w:val="nil"/>
            </w:tcBorders>
            <w:shd w:val="clear" w:color="auto" w:fill="auto"/>
            <w:noWrap/>
            <w:vAlign w:val="center"/>
          </w:tcPr>
          <w:p w14:paraId="0579B343">
            <w:pPr>
              <w:widowControl w:val="0"/>
              <w:rPr>
                <w:rFonts w:ascii="Times New Roman" w:hAnsi="Times New Roman" w:cs="Times New Roman"/>
                <w:color w:val="auto"/>
              </w:rPr>
            </w:pPr>
            <w:r>
              <w:rPr>
                <w:rFonts w:ascii="Times New Roman" w:hAnsi="Times New Roman" w:cs="Times New Roman"/>
                <w:color w:val="auto"/>
                <w:lang w:bidi="ar"/>
              </w:rPr>
              <w:t>GPP</w:t>
            </w:r>
          </w:p>
        </w:tc>
        <w:tc>
          <w:tcPr>
            <w:tcW w:w="1947" w:type="dxa"/>
            <w:tcBorders>
              <w:top w:val="nil"/>
              <w:left w:val="nil"/>
              <w:bottom w:val="nil"/>
              <w:right w:val="nil"/>
            </w:tcBorders>
            <w:shd w:val="clear" w:color="auto" w:fill="auto"/>
            <w:noWrap/>
            <w:vAlign w:val="center"/>
          </w:tcPr>
          <w:p w14:paraId="66AD1564">
            <w:pPr>
              <w:rPr>
                <w:rFonts w:ascii="Times New Roman" w:hAnsi="Times New Roman" w:cs="Times New Roman"/>
                <w:color w:val="auto"/>
              </w:rPr>
            </w:pPr>
          </w:p>
        </w:tc>
        <w:tc>
          <w:tcPr>
            <w:tcW w:w="3496" w:type="dxa"/>
            <w:tcBorders>
              <w:top w:val="nil"/>
              <w:left w:val="nil"/>
              <w:bottom w:val="nil"/>
              <w:right w:val="nil"/>
            </w:tcBorders>
            <w:shd w:val="clear" w:color="auto" w:fill="auto"/>
            <w:vAlign w:val="center"/>
          </w:tcPr>
          <w:p w14:paraId="4494B1EA">
            <w:pPr>
              <w:widowControl w:val="0"/>
              <w:rPr>
                <w:rFonts w:ascii="Times New Roman" w:hAnsi="Times New Roman" w:cs="Times New Roman"/>
                <w:color w:val="auto"/>
              </w:rPr>
            </w:pPr>
            <w:r>
              <w:rPr>
                <w:rFonts w:ascii="Times New Roman" w:hAnsi="Times New Roman" w:cs="Times New Roman"/>
                <w:color w:val="auto"/>
                <w:lang w:bidi="ar"/>
              </w:rPr>
              <w:t>Calculated from MODIS images (8 d)</w:t>
            </w:r>
          </w:p>
        </w:tc>
        <w:tc>
          <w:tcPr>
            <w:tcW w:w="999" w:type="dxa"/>
            <w:tcBorders>
              <w:top w:val="nil"/>
              <w:left w:val="nil"/>
              <w:bottom w:val="nil"/>
              <w:right w:val="nil"/>
            </w:tcBorders>
            <w:shd w:val="clear" w:color="auto" w:fill="auto"/>
            <w:vAlign w:val="center"/>
          </w:tcPr>
          <w:p w14:paraId="1586A1A3">
            <w:pPr>
              <w:widowControl w:val="0"/>
              <w:rPr>
                <w:rFonts w:ascii="Times New Roman" w:hAnsi="Times New Roman" w:cs="Times New Roman"/>
                <w:color w:val="auto"/>
                <w:lang w:bidi="ar"/>
              </w:rPr>
            </w:pPr>
            <w:r>
              <w:rPr>
                <w:rFonts w:ascii="Times New Roman" w:hAnsi="Times New Roman" w:cs="Times New Roman"/>
                <w:color w:val="auto"/>
                <w:lang w:bidi="ar"/>
              </w:rPr>
              <w:t>500m</w:t>
            </w:r>
          </w:p>
        </w:tc>
        <w:tc>
          <w:tcPr>
            <w:tcW w:w="1537" w:type="dxa"/>
            <w:tcBorders>
              <w:top w:val="nil"/>
              <w:left w:val="nil"/>
              <w:bottom w:val="nil"/>
              <w:right w:val="nil"/>
            </w:tcBorders>
            <w:shd w:val="clear" w:color="auto" w:fill="auto"/>
            <w:vAlign w:val="center"/>
          </w:tcPr>
          <w:p w14:paraId="6019E6F7">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r>
              <w:rPr>
                <w:rFonts w:ascii="Times New Roman" w:hAnsi="Times New Roman" w:cs="Times New Roman"/>
                <w:color w:val="auto"/>
                <w:lang w:bidi="ar"/>
              </w:rPr>
              <w:t xml:space="preserve"> </w:t>
            </w:r>
          </w:p>
        </w:tc>
      </w:tr>
      <w:tr w14:paraId="53D0ADEA">
        <w:tblPrEx>
          <w:tblCellMar>
            <w:top w:w="0" w:type="dxa"/>
            <w:left w:w="108" w:type="dxa"/>
            <w:bottom w:w="0" w:type="dxa"/>
            <w:right w:w="108" w:type="dxa"/>
          </w:tblCellMar>
        </w:tblPrEx>
        <w:trPr>
          <w:trHeight w:val="288" w:hRule="atLeast"/>
        </w:trPr>
        <w:tc>
          <w:tcPr>
            <w:tcW w:w="1797" w:type="dxa"/>
            <w:vMerge w:val="restart"/>
            <w:tcBorders>
              <w:top w:val="nil"/>
              <w:left w:val="nil"/>
              <w:bottom w:val="nil"/>
              <w:right w:val="nil"/>
            </w:tcBorders>
            <w:shd w:val="clear" w:color="auto" w:fill="auto"/>
            <w:noWrap/>
            <w:vAlign w:val="center"/>
          </w:tcPr>
          <w:p w14:paraId="243640C9">
            <w:pPr>
              <w:widowControl w:val="0"/>
              <w:rPr>
                <w:rFonts w:ascii="Times New Roman" w:hAnsi="Times New Roman" w:cs="Times New Roman"/>
                <w:color w:val="auto"/>
              </w:rPr>
            </w:pPr>
            <w:r>
              <w:rPr>
                <w:rFonts w:ascii="Times New Roman" w:hAnsi="Times New Roman" w:cs="Times New Roman"/>
                <w:color w:val="auto"/>
                <w:lang w:bidi="ar"/>
              </w:rPr>
              <w:t>Vegetation physiology factors</w:t>
            </w:r>
          </w:p>
        </w:tc>
        <w:tc>
          <w:tcPr>
            <w:tcW w:w="1947" w:type="dxa"/>
            <w:tcBorders>
              <w:top w:val="single" w:color="000000" w:sz="4" w:space="0"/>
              <w:left w:val="nil"/>
              <w:bottom w:val="nil"/>
              <w:right w:val="nil"/>
            </w:tcBorders>
            <w:shd w:val="clear" w:color="auto" w:fill="auto"/>
            <w:noWrap/>
            <w:vAlign w:val="center"/>
          </w:tcPr>
          <w:p w14:paraId="0E49A8FB">
            <w:pPr>
              <w:widowControl w:val="0"/>
              <w:rPr>
                <w:rFonts w:ascii="Times New Roman" w:hAnsi="Times New Roman" w:cs="Times New Roman"/>
                <w:color w:val="auto"/>
              </w:rPr>
            </w:pPr>
            <w:r>
              <w:rPr>
                <w:rFonts w:ascii="Times New Roman" w:hAnsi="Times New Roman" w:cs="Times New Roman"/>
                <w:color w:val="auto"/>
                <w:lang w:bidi="ar"/>
              </w:rPr>
              <w:t>Quantity traits (N or P density)</w:t>
            </w:r>
          </w:p>
        </w:tc>
        <w:tc>
          <w:tcPr>
            <w:tcW w:w="3496" w:type="dxa"/>
            <w:tcBorders>
              <w:top w:val="single" w:color="000000" w:sz="4" w:space="0"/>
              <w:left w:val="nil"/>
              <w:bottom w:val="nil"/>
              <w:right w:val="nil"/>
            </w:tcBorders>
            <w:shd w:val="clear" w:color="auto" w:fill="auto"/>
            <w:noWrap/>
            <w:vAlign w:val="center"/>
          </w:tcPr>
          <w:p w14:paraId="3A8C2392">
            <w:pPr>
              <w:widowControl w:val="0"/>
              <w:rPr>
                <w:rFonts w:ascii="Times New Roman" w:hAnsi="Times New Roman" w:cs="Times New Roman"/>
                <w:color w:val="auto"/>
              </w:rPr>
            </w:pPr>
            <w:r>
              <w:rPr>
                <w:rFonts w:ascii="Times New Roman" w:hAnsi="Times New Roman" w:cs="Times New Roman"/>
                <w:color w:val="auto"/>
                <w:lang w:bidi="ar"/>
              </w:rPr>
              <w:t>Calculated from N or P content</w:t>
            </w:r>
          </w:p>
        </w:tc>
        <w:tc>
          <w:tcPr>
            <w:tcW w:w="999" w:type="dxa"/>
            <w:tcBorders>
              <w:top w:val="single" w:color="000000" w:sz="4" w:space="0"/>
              <w:left w:val="nil"/>
              <w:bottom w:val="nil"/>
              <w:right w:val="nil"/>
            </w:tcBorders>
            <w:shd w:val="clear" w:color="auto" w:fill="auto"/>
            <w:noWrap/>
            <w:vAlign w:val="center"/>
          </w:tcPr>
          <w:p w14:paraId="684B4692">
            <w:pPr>
              <w:widowControl w:val="0"/>
              <w:rPr>
                <w:rFonts w:ascii="Times New Roman" w:hAnsi="Times New Roman" w:cs="Times New Roman"/>
                <w:color w:val="auto"/>
                <w:lang w:bidi="ar"/>
              </w:rPr>
            </w:pPr>
            <w:r>
              <w:rPr>
                <w:rFonts w:hint="eastAsia" w:ascii="Times New Roman" w:hAnsi="Times New Roman" w:cs="Times New Roman"/>
                <w:color w:val="auto"/>
                <w:lang w:bidi="ar"/>
              </w:rPr>
              <w:t>0.5°</w:t>
            </w:r>
          </w:p>
        </w:tc>
        <w:tc>
          <w:tcPr>
            <w:tcW w:w="1537" w:type="dxa"/>
            <w:tcBorders>
              <w:top w:val="single" w:color="000000" w:sz="4" w:space="0"/>
              <w:left w:val="nil"/>
              <w:bottom w:val="nil"/>
              <w:right w:val="nil"/>
            </w:tcBorders>
            <w:shd w:val="clear" w:color="auto" w:fill="auto"/>
            <w:noWrap/>
            <w:vAlign w:val="center"/>
          </w:tcPr>
          <w:p w14:paraId="5D0241EB">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r>
              <w:rPr>
                <w:rFonts w:ascii="Times New Roman" w:hAnsi="Times New Roman" w:cs="Times New Roman"/>
                <w:color w:val="auto"/>
                <w:lang w:bidi="ar"/>
              </w:rPr>
              <w:t xml:space="preserve"> </w:t>
            </w:r>
          </w:p>
        </w:tc>
      </w:tr>
      <w:tr w14:paraId="12DF8692">
        <w:tblPrEx>
          <w:tblCellMar>
            <w:top w:w="0" w:type="dxa"/>
            <w:left w:w="108" w:type="dxa"/>
            <w:bottom w:w="0" w:type="dxa"/>
            <w:right w:w="108" w:type="dxa"/>
          </w:tblCellMar>
        </w:tblPrEx>
        <w:trPr>
          <w:trHeight w:val="305" w:hRule="atLeast"/>
        </w:trPr>
        <w:tc>
          <w:tcPr>
            <w:tcW w:w="1797" w:type="dxa"/>
            <w:vMerge w:val="continue"/>
            <w:tcBorders>
              <w:top w:val="nil"/>
              <w:left w:val="nil"/>
              <w:bottom w:val="nil"/>
              <w:right w:val="nil"/>
            </w:tcBorders>
            <w:shd w:val="clear" w:color="auto" w:fill="auto"/>
            <w:noWrap/>
            <w:vAlign w:val="center"/>
          </w:tcPr>
          <w:p w14:paraId="6A822CBF">
            <w:pPr>
              <w:rPr>
                <w:rFonts w:ascii="Times New Roman" w:hAnsi="Times New Roman" w:cs="Times New Roman"/>
                <w:color w:val="auto"/>
              </w:rPr>
            </w:pPr>
          </w:p>
        </w:tc>
        <w:tc>
          <w:tcPr>
            <w:tcW w:w="1947" w:type="dxa"/>
            <w:tcBorders>
              <w:top w:val="nil"/>
              <w:left w:val="nil"/>
              <w:bottom w:val="nil"/>
              <w:right w:val="nil"/>
            </w:tcBorders>
            <w:shd w:val="clear" w:color="auto" w:fill="auto"/>
            <w:noWrap/>
            <w:vAlign w:val="center"/>
          </w:tcPr>
          <w:p w14:paraId="5CFCE072">
            <w:pPr>
              <w:widowControl w:val="0"/>
              <w:rPr>
                <w:rFonts w:ascii="Times New Roman" w:hAnsi="Times New Roman" w:cs="Times New Roman"/>
                <w:color w:val="auto"/>
              </w:rPr>
            </w:pPr>
            <w:r>
              <w:rPr>
                <w:rFonts w:ascii="Times New Roman" w:hAnsi="Times New Roman" w:cs="Times New Roman"/>
                <w:color w:val="auto"/>
                <w:lang w:bidi="ar"/>
              </w:rPr>
              <w:t>Efficiency traits (N or P content)</w:t>
            </w:r>
          </w:p>
        </w:tc>
        <w:tc>
          <w:tcPr>
            <w:tcW w:w="3496" w:type="dxa"/>
            <w:tcBorders>
              <w:top w:val="nil"/>
              <w:left w:val="nil"/>
              <w:bottom w:val="nil"/>
              <w:right w:val="nil"/>
            </w:tcBorders>
            <w:shd w:val="clear" w:color="auto" w:fill="auto"/>
            <w:noWrap/>
            <w:vAlign w:val="center"/>
          </w:tcPr>
          <w:p w14:paraId="10376A88">
            <w:pPr>
              <w:widowControl w:val="0"/>
              <w:rPr>
                <w:rFonts w:ascii="Times New Roman" w:hAnsi="Times New Roman" w:cs="Times New Roman"/>
                <w:color w:val="auto"/>
              </w:rPr>
            </w:pPr>
            <w:r>
              <w:rPr>
                <w:rFonts w:ascii="Times New Roman" w:hAnsi="Times New Roman" w:cs="Times New Roman"/>
                <w:color w:val="auto"/>
                <w:lang w:bidi="ar"/>
              </w:rPr>
              <w:t>Field Testing</w:t>
            </w:r>
          </w:p>
        </w:tc>
        <w:tc>
          <w:tcPr>
            <w:tcW w:w="999" w:type="dxa"/>
            <w:tcBorders>
              <w:top w:val="nil"/>
              <w:left w:val="nil"/>
              <w:bottom w:val="nil"/>
              <w:right w:val="nil"/>
            </w:tcBorders>
            <w:shd w:val="clear" w:color="auto" w:fill="auto"/>
            <w:noWrap/>
            <w:vAlign w:val="center"/>
          </w:tcPr>
          <w:p w14:paraId="3334D46A">
            <w:pPr>
              <w:widowControl w:val="0"/>
              <w:rPr>
                <w:rFonts w:ascii="Times New Roman" w:hAnsi="Times New Roman" w:cs="Times New Roman"/>
                <w:color w:val="auto"/>
                <w:lang w:bidi="ar"/>
              </w:rPr>
            </w:pPr>
            <w:r>
              <w:rPr>
                <w:rFonts w:hint="eastAsia" w:ascii="Times New Roman" w:hAnsi="Times New Roman" w:cs="Times New Roman"/>
                <w:color w:val="auto"/>
                <w:lang w:bidi="ar"/>
              </w:rPr>
              <w:t>0.5°</w:t>
            </w:r>
          </w:p>
        </w:tc>
        <w:tc>
          <w:tcPr>
            <w:tcW w:w="1537" w:type="dxa"/>
            <w:tcBorders>
              <w:top w:val="nil"/>
              <w:left w:val="nil"/>
              <w:bottom w:val="nil"/>
              <w:right w:val="nil"/>
            </w:tcBorders>
            <w:shd w:val="clear" w:color="auto" w:fill="auto"/>
            <w:noWrap/>
            <w:vAlign w:val="center"/>
          </w:tcPr>
          <w:p w14:paraId="377990E4">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r>
              <w:rPr>
                <w:rFonts w:ascii="Times New Roman" w:hAnsi="Times New Roman" w:cs="Times New Roman"/>
                <w:color w:val="auto"/>
                <w:lang w:bidi="ar"/>
              </w:rPr>
              <w:t xml:space="preserve"> </w:t>
            </w:r>
          </w:p>
        </w:tc>
      </w:tr>
      <w:tr w14:paraId="3FF85B2B">
        <w:tblPrEx>
          <w:tblCellMar>
            <w:top w:w="0" w:type="dxa"/>
            <w:left w:w="108" w:type="dxa"/>
            <w:bottom w:w="0" w:type="dxa"/>
            <w:right w:w="108" w:type="dxa"/>
          </w:tblCellMar>
        </w:tblPrEx>
        <w:trPr>
          <w:trHeight w:val="288" w:hRule="atLeast"/>
        </w:trPr>
        <w:tc>
          <w:tcPr>
            <w:tcW w:w="1797" w:type="dxa"/>
            <w:vMerge w:val="continue"/>
            <w:tcBorders>
              <w:top w:val="nil"/>
              <w:left w:val="nil"/>
              <w:bottom w:val="nil"/>
              <w:right w:val="nil"/>
            </w:tcBorders>
            <w:shd w:val="clear" w:color="auto" w:fill="auto"/>
            <w:noWrap/>
            <w:vAlign w:val="center"/>
          </w:tcPr>
          <w:p w14:paraId="46CE3486">
            <w:pPr>
              <w:rPr>
                <w:rFonts w:ascii="Times New Roman" w:hAnsi="Times New Roman" w:cs="Times New Roman"/>
                <w:color w:val="auto"/>
              </w:rPr>
            </w:pPr>
          </w:p>
        </w:tc>
        <w:tc>
          <w:tcPr>
            <w:tcW w:w="1947" w:type="dxa"/>
            <w:tcBorders>
              <w:top w:val="nil"/>
              <w:left w:val="nil"/>
              <w:bottom w:val="single" w:color="000000" w:sz="4" w:space="0"/>
              <w:right w:val="nil"/>
            </w:tcBorders>
            <w:shd w:val="clear" w:color="auto" w:fill="auto"/>
            <w:noWrap/>
            <w:vAlign w:val="center"/>
          </w:tcPr>
          <w:p w14:paraId="1CD75BC8">
            <w:pPr>
              <w:widowControl w:val="0"/>
              <w:rPr>
                <w:rFonts w:ascii="Times New Roman" w:hAnsi="Times New Roman" w:cs="Times New Roman"/>
                <w:color w:val="auto"/>
              </w:rPr>
            </w:pPr>
            <w:r>
              <w:rPr>
                <w:rFonts w:ascii="Times New Roman" w:hAnsi="Times New Roman" w:cs="Times New Roman"/>
                <w:color w:val="auto"/>
                <w:lang w:bidi="ar"/>
              </w:rPr>
              <w:t>N: P</w:t>
            </w:r>
          </w:p>
        </w:tc>
        <w:tc>
          <w:tcPr>
            <w:tcW w:w="3496" w:type="dxa"/>
            <w:tcBorders>
              <w:top w:val="nil"/>
              <w:left w:val="nil"/>
              <w:bottom w:val="single" w:color="000000" w:sz="4" w:space="0"/>
              <w:right w:val="nil"/>
            </w:tcBorders>
            <w:shd w:val="clear" w:color="auto" w:fill="auto"/>
            <w:noWrap/>
            <w:vAlign w:val="center"/>
          </w:tcPr>
          <w:p w14:paraId="155B9103">
            <w:pPr>
              <w:widowControl w:val="0"/>
              <w:rPr>
                <w:rFonts w:ascii="Times New Roman" w:hAnsi="Times New Roman" w:cs="Times New Roman"/>
                <w:color w:val="auto"/>
              </w:rPr>
            </w:pPr>
            <w:r>
              <w:rPr>
                <w:rFonts w:ascii="Times New Roman" w:hAnsi="Times New Roman" w:cs="Times New Roman"/>
                <w:color w:val="auto"/>
                <w:lang w:bidi="ar"/>
              </w:rPr>
              <w:t>Calculated from N or P content</w:t>
            </w:r>
          </w:p>
        </w:tc>
        <w:tc>
          <w:tcPr>
            <w:tcW w:w="999" w:type="dxa"/>
            <w:tcBorders>
              <w:top w:val="nil"/>
              <w:left w:val="nil"/>
              <w:bottom w:val="single" w:color="000000" w:sz="4" w:space="0"/>
              <w:right w:val="nil"/>
            </w:tcBorders>
            <w:shd w:val="clear" w:color="auto" w:fill="auto"/>
            <w:noWrap/>
            <w:vAlign w:val="center"/>
          </w:tcPr>
          <w:p w14:paraId="1123CF95">
            <w:pPr>
              <w:widowControl w:val="0"/>
              <w:rPr>
                <w:rFonts w:ascii="Times New Roman" w:hAnsi="Times New Roman" w:cs="Times New Roman"/>
                <w:color w:val="auto"/>
                <w:lang w:bidi="ar"/>
              </w:rPr>
            </w:pPr>
            <w:r>
              <w:rPr>
                <w:rFonts w:hint="eastAsia" w:ascii="Times New Roman" w:hAnsi="Times New Roman" w:cs="Times New Roman"/>
                <w:color w:val="auto"/>
                <w:lang w:bidi="ar"/>
              </w:rPr>
              <w:t>0.5°</w:t>
            </w:r>
          </w:p>
        </w:tc>
        <w:tc>
          <w:tcPr>
            <w:tcW w:w="1537" w:type="dxa"/>
            <w:tcBorders>
              <w:top w:val="nil"/>
              <w:left w:val="nil"/>
              <w:bottom w:val="single" w:color="000000" w:sz="4" w:space="0"/>
              <w:right w:val="nil"/>
            </w:tcBorders>
            <w:shd w:val="clear" w:color="auto" w:fill="auto"/>
            <w:noWrap/>
            <w:vAlign w:val="center"/>
          </w:tcPr>
          <w:p w14:paraId="0D2C8DF9">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r>
              <w:rPr>
                <w:rFonts w:ascii="Times New Roman" w:hAnsi="Times New Roman" w:cs="Times New Roman"/>
                <w:color w:val="auto"/>
                <w:lang w:bidi="ar"/>
              </w:rPr>
              <w:t xml:space="preserve"> </w:t>
            </w:r>
          </w:p>
        </w:tc>
      </w:tr>
      <w:tr w14:paraId="5C901CDC">
        <w:tblPrEx>
          <w:tblCellMar>
            <w:top w:w="0" w:type="dxa"/>
            <w:left w:w="108" w:type="dxa"/>
            <w:bottom w:w="0" w:type="dxa"/>
            <w:right w:w="108" w:type="dxa"/>
          </w:tblCellMar>
        </w:tblPrEx>
        <w:trPr>
          <w:trHeight w:val="288" w:hRule="atLeast"/>
        </w:trPr>
        <w:tc>
          <w:tcPr>
            <w:tcW w:w="1797" w:type="dxa"/>
            <w:tcBorders>
              <w:top w:val="nil"/>
              <w:left w:val="nil"/>
              <w:bottom w:val="nil"/>
              <w:right w:val="nil"/>
            </w:tcBorders>
            <w:shd w:val="clear" w:color="auto" w:fill="auto"/>
            <w:noWrap/>
            <w:vAlign w:val="center"/>
          </w:tcPr>
          <w:p w14:paraId="55867702">
            <w:pPr>
              <w:widowControl w:val="0"/>
              <w:rPr>
                <w:rFonts w:ascii="Times New Roman" w:hAnsi="Times New Roman" w:cs="Times New Roman"/>
                <w:color w:val="auto"/>
              </w:rPr>
            </w:pPr>
            <w:r>
              <w:rPr>
                <w:rFonts w:ascii="Times New Roman" w:hAnsi="Times New Roman" w:cs="Times New Roman"/>
                <w:color w:val="auto"/>
                <w:lang w:bidi="ar"/>
              </w:rPr>
              <w:t>The length of growth season</w:t>
            </w:r>
          </w:p>
        </w:tc>
        <w:tc>
          <w:tcPr>
            <w:tcW w:w="1947" w:type="dxa"/>
            <w:tcBorders>
              <w:top w:val="nil"/>
              <w:left w:val="nil"/>
              <w:bottom w:val="single" w:color="auto" w:sz="4" w:space="0"/>
              <w:right w:val="nil"/>
            </w:tcBorders>
            <w:shd w:val="clear" w:color="auto" w:fill="auto"/>
            <w:noWrap/>
            <w:vAlign w:val="center"/>
          </w:tcPr>
          <w:p w14:paraId="00C475C7">
            <w:pPr>
              <w:rPr>
                <w:rFonts w:ascii="Times New Roman" w:hAnsi="Times New Roman" w:cs="Times New Roman"/>
                <w:color w:val="auto"/>
              </w:rPr>
            </w:pPr>
          </w:p>
        </w:tc>
        <w:tc>
          <w:tcPr>
            <w:tcW w:w="3496" w:type="dxa"/>
            <w:tcBorders>
              <w:top w:val="nil"/>
              <w:left w:val="nil"/>
              <w:bottom w:val="single" w:color="auto" w:sz="4" w:space="0"/>
              <w:right w:val="nil"/>
            </w:tcBorders>
            <w:shd w:val="clear" w:color="auto" w:fill="auto"/>
            <w:noWrap/>
            <w:vAlign w:val="center"/>
          </w:tcPr>
          <w:p w14:paraId="04F8CC5E">
            <w:pPr>
              <w:widowControl w:val="0"/>
              <w:rPr>
                <w:rFonts w:ascii="Times New Roman" w:hAnsi="Times New Roman" w:cs="Times New Roman"/>
                <w:color w:val="auto"/>
              </w:rPr>
            </w:pPr>
            <w:r>
              <w:rPr>
                <w:rFonts w:ascii="Times New Roman" w:hAnsi="Times New Roman" w:cs="Times New Roman"/>
                <w:color w:val="auto"/>
                <w:lang w:bidi="ar"/>
              </w:rPr>
              <w:t>Global Change Research Data Publishing &amp; Repository Database</w:t>
            </w:r>
          </w:p>
        </w:tc>
        <w:tc>
          <w:tcPr>
            <w:tcW w:w="999" w:type="dxa"/>
            <w:tcBorders>
              <w:top w:val="nil"/>
              <w:left w:val="nil"/>
              <w:bottom w:val="single" w:color="auto" w:sz="4" w:space="0"/>
              <w:right w:val="nil"/>
            </w:tcBorders>
            <w:shd w:val="clear" w:color="auto" w:fill="auto"/>
            <w:noWrap/>
            <w:vAlign w:val="center"/>
          </w:tcPr>
          <w:p w14:paraId="499DD1F0">
            <w:pPr>
              <w:widowControl w:val="0"/>
              <w:rPr>
                <w:rFonts w:ascii="Times New Roman" w:hAnsi="Times New Roman" w:cs="Times New Roman"/>
                <w:color w:val="auto"/>
                <w:lang w:bidi="ar"/>
              </w:rPr>
            </w:pPr>
            <w:r>
              <w:rPr>
                <w:rFonts w:ascii="Times New Roman" w:hAnsi="Times New Roman" w:cs="Times New Roman"/>
                <w:color w:val="auto"/>
                <w:lang w:bidi="ar"/>
              </w:rPr>
              <w:t>500 m</w:t>
            </w:r>
          </w:p>
        </w:tc>
        <w:tc>
          <w:tcPr>
            <w:tcW w:w="1537" w:type="dxa"/>
            <w:tcBorders>
              <w:top w:val="nil"/>
              <w:left w:val="nil"/>
              <w:bottom w:val="single" w:color="auto" w:sz="4" w:space="0"/>
              <w:right w:val="nil"/>
            </w:tcBorders>
            <w:shd w:val="clear" w:color="auto" w:fill="auto"/>
            <w:noWrap/>
            <w:vAlign w:val="center"/>
          </w:tcPr>
          <w:p w14:paraId="4FCB940F">
            <w:pPr>
              <w:widowControl w:val="0"/>
              <w:rPr>
                <w:rFonts w:ascii="Times New Roman" w:hAnsi="Times New Roman" w:cs="Times New Roman"/>
                <w:color w:val="auto"/>
                <w:lang w:bidi="ar"/>
              </w:rPr>
            </w:pPr>
            <w:r>
              <w:rPr>
                <w:rFonts w:ascii="Times New Roman" w:hAnsi="Times New Roman" w:cs="Times New Roman"/>
                <w:color w:val="auto"/>
                <w:lang w:bidi="ar"/>
              </w:rPr>
              <w:t>2001–2016</w:t>
            </w:r>
          </w:p>
        </w:tc>
      </w:tr>
      <w:tr w14:paraId="4EFE4362">
        <w:tblPrEx>
          <w:tblCellMar>
            <w:top w:w="0" w:type="dxa"/>
            <w:left w:w="108" w:type="dxa"/>
            <w:bottom w:w="0" w:type="dxa"/>
            <w:right w:w="108" w:type="dxa"/>
          </w:tblCellMar>
        </w:tblPrEx>
        <w:trPr>
          <w:trHeight w:val="288" w:hRule="atLeast"/>
        </w:trPr>
        <w:tc>
          <w:tcPr>
            <w:tcW w:w="1797" w:type="dxa"/>
            <w:vMerge w:val="restart"/>
            <w:tcBorders>
              <w:top w:val="nil"/>
              <w:left w:val="nil"/>
              <w:bottom w:val="single" w:color="000000" w:sz="8" w:space="0"/>
              <w:right w:val="nil"/>
            </w:tcBorders>
            <w:shd w:val="clear" w:color="auto" w:fill="auto"/>
            <w:noWrap/>
            <w:vAlign w:val="center"/>
          </w:tcPr>
          <w:p w14:paraId="73E4D687">
            <w:pPr>
              <w:widowControl w:val="0"/>
              <w:rPr>
                <w:rFonts w:ascii="Times New Roman" w:hAnsi="Times New Roman" w:cs="Times New Roman"/>
                <w:color w:val="auto"/>
              </w:rPr>
            </w:pPr>
            <w:r>
              <w:rPr>
                <w:rFonts w:hint="eastAsia" w:ascii="Times New Roman" w:hAnsi="Times New Roman" w:cs="Times New Roman"/>
                <w:color w:val="auto"/>
                <w:lang w:bidi="ar"/>
              </w:rPr>
              <w:t>E</w:t>
            </w:r>
            <w:r>
              <w:rPr>
                <w:rFonts w:ascii="Times New Roman" w:hAnsi="Times New Roman" w:cs="Times New Roman"/>
                <w:color w:val="auto"/>
                <w:lang w:bidi="ar"/>
              </w:rPr>
              <w:t>nvironment factors data</w:t>
            </w:r>
          </w:p>
        </w:tc>
        <w:tc>
          <w:tcPr>
            <w:tcW w:w="1947" w:type="dxa"/>
            <w:tcBorders>
              <w:top w:val="single" w:color="auto" w:sz="4" w:space="0"/>
              <w:left w:val="nil"/>
              <w:bottom w:val="nil"/>
              <w:right w:val="nil"/>
            </w:tcBorders>
            <w:shd w:val="clear" w:color="auto" w:fill="auto"/>
            <w:noWrap/>
            <w:vAlign w:val="center"/>
          </w:tcPr>
          <w:p w14:paraId="770659C8">
            <w:pPr>
              <w:widowControl w:val="0"/>
              <w:rPr>
                <w:rFonts w:ascii="Times New Roman" w:hAnsi="Times New Roman" w:cs="Times New Roman"/>
                <w:color w:val="auto"/>
              </w:rPr>
            </w:pPr>
            <w:r>
              <w:rPr>
                <w:rFonts w:ascii="Times New Roman" w:hAnsi="Times New Roman" w:cs="Times New Roman"/>
                <w:color w:val="auto"/>
                <w:lang w:bidi="ar"/>
              </w:rPr>
              <w:t>Soil data (Soil N, SOC, Soil pH)</w:t>
            </w:r>
          </w:p>
        </w:tc>
        <w:tc>
          <w:tcPr>
            <w:tcW w:w="3496" w:type="dxa"/>
            <w:tcBorders>
              <w:top w:val="single" w:color="auto" w:sz="4" w:space="0"/>
              <w:left w:val="nil"/>
              <w:bottom w:val="nil"/>
              <w:right w:val="nil"/>
            </w:tcBorders>
            <w:shd w:val="clear" w:color="auto" w:fill="auto"/>
            <w:noWrap/>
            <w:vAlign w:val="center"/>
          </w:tcPr>
          <w:p w14:paraId="57B41E07">
            <w:pPr>
              <w:widowControl w:val="0"/>
              <w:rPr>
                <w:rFonts w:ascii="Times New Roman" w:hAnsi="Times New Roman" w:cs="Times New Roman"/>
                <w:color w:val="auto"/>
              </w:rPr>
            </w:pPr>
            <w:r>
              <w:rPr>
                <w:rFonts w:ascii="Times New Roman" w:hAnsi="Times New Roman" w:cs="Times New Roman"/>
                <w:color w:val="auto"/>
                <w:lang w:bidi="ar"/>
              </w:rPr>
              <w:t>Field Testing</w:t>
            </w:r>
          </w:p>
        </w:tc>
        <w:tc>
          <w:tcPr>
            <w:tcW w:w="999" w:type="dxa"/>
            <w:tcBorders>
              <w:top w:val="single" w:color="auto" w:sz="4" w:space="0"/>
              <w:left w:val="nil"/>
              <w:bottom w:val="nil"/>
              <w:right w:val="nil"/>
            </w:tcBorders>
            <w:shd w:val="clear" w:color="auto" w:fill="auto"/>
            <w:noWrap/>
            <w:vAlign w:val="center"/>
          </w:tcPr>
          <w:p w14:paraId="12D93974">
            <w:pPr>
              <w:widowControl w:val="0"/>
              <w:rPr>
                <w:rFonts w:ascii="Times New Roman" w:hAnsi="Times New Roman" w:cs="Times New Roman"/>
                <w:color w:val="auto"/>
                <w:lang w:bidi="ar"/>
              </w:rPr>
            </w:pPr>
            <w:r>
              <w:rPr>
                <w:rFonts w:hint="eastAsia" w:ascii="Times New Roman" w:hAnsi="Times New Roman" w:cs="Times New Roman"/>
                <w:color w:val="auto"/>
                <w:lang w:bidi="ar"/>
              </w:rPr>
              <w:t>0.5°</w:t>
            </w:r>
          </w:p>
        </w:tc>
        <w:tc>
          <w:tcPr>
            <w:tcW w:w="1537" w:type="dxa"/>
            <w:tcBorders>
              <w:top w:val="single" w:color="auto" w:sz="4" w:space="0"/>
              <w:left w:val="nil"/>
              <w:bottom w:val="nil"/>
              <w:right w:val="nil"/>
            </w:tcBorders>
            <w:shd w:val="clear" w:color="auto" w:fill="auto"/>
            <w:noWrap/>
            <w:vAlign w:val="center"/>
          </w:tcPr>
          <w:p w14:paraId="127AD96E">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r>
              <w:rPr>
                <w:rFonts w:ascii="Times New Roman" w:hAnsi="Times New Roman" w:cs="Times New Roman"/>
                <w:color w:val="auto"/>
                <w:lang w:bidi="ar"/>
              </w:rPr>
              <w:t xml:space="preserve"> </w:t>
            </w:r>
          </w:p>
        </w:tc>
      </w:tr>
      <w:tr w14:paraId="3016EDE9">
        <w:tblPrEx>
          <w:tblCellMar>
            <w:top w:w="0" w:type="dxa"/>
            <w:left w:w="108" w:type="dxa"/>
            <w:bottom w:w="0" w:type="dxa"/>
            <w:right w:w="108" w:type="dxa"/>
          </w:tblCellMar>
        </w:tblPrEx>
        <w:trPr>
          <w:trHeight w:val="288" w:hRule="atLeast"/>
        </w:trPr>
        <w:tc>
          <w:tcPr>
            <w:tcW w:w="1797" w:type="dxa"/>
            <w:vMerge w:val="continue"/>
            <w:tcBorders>
              <w:top w:val="nil"/>
              <w:left w:val="nil"/>
              <w:bottom w:val="single" w:color="000000" w:sz="8" w:space="0"/>
              <w:right w:val="nil"/>
            </w:tcBorders>
            <w:shd w:val="clear" w:color="auto" w:fill="auto"/>
            <w:noWrap/>
            <w:vAlign w:val="center"/>
          </w:tcPr>
          <w:p w14:paraId="2ECAF646">
            <w:pPr>
              <w:rPr>
                <w:rFonts w:ascii="Times New Roman" w:hAnsi="Times New Roman" w:cs="Times New Roman"/>
                <w:color w:val="auto"/>
              </w:rPr>
            </w:pPr>
          </w:p>
        </w:tc>
        <w:tc>
          <w:tcPr>
            <w:tcW w:w="1947" w:type="dxa"/>
            <w:tcBorders>
              <w:top w:val="nil"/>
              <w:left w:val="nil"/>
              <w:bottom w:val="nil"/>
              <w:right w:val="nil"/>
            </w:tcBorders>
            <w:shd w:val="clear" w:color="auto" w:fill="auto"/>
            <w:noWrap/>
            <w:vAlign w:val="center"/>
          </w:tcPr>
          <w:p w14:paraId="61F6F88B">
            <w:pPr>
              <w:widowControl w:val="0"/>
              <w:rPr>
                <w:rFonts w:ascii="Times New Roman" w:hAnsi="Times New Roman" w:cs="Times New Roman"/>
                <w:color w:val="auto"/>
              </w:rPr>
            </w:pPr>
            <w:r>
              <w:rPr>
                <w:rFonts w:ascii="Times New Roman" w:hAnsi="Times New Roman" w:cs="Times New Roman"/>
                <w:color w:val="auto"/>
                <w:lang w:bidi="ar"/>
              </w:rPr>
              <w:t>Temperature</w:t>
            </w:r>
          </w:p>
        </w:tc>
        <w:tc>
          <w:tcPr>
            <w:tcW w:w="3496" w:type="dxa"/>
            <w:tcBorders>
              <w:top w:val="nil"/>
              <w:left w:val="nil"/>
              <w:bottom w:val="nil"/>
              <w:right w:val="nil"/>
            </w:tcBorders>
            <w:shd w:val="clear" w:color="auto" w:fill="auto"/>
            <w:noWrap/>
            <w:vAlign w:val="center"/>
          </w:tcPr>
          <w:p w14:paraId="2ADD4227">
            <w:pPr>
              <w:widowControl w:val="0"/>
              <w:rPr>
                <w:rFonts w:ascii="Times New Roman" w:hAnsi="Times New Roman" w:cs="Times New Roman"/>
                <w:color w:val="auto"/>
              </w:rPr>
            </w:pPr>
            <w:r>
              <w:rPr>
                <w:rFonts w:ascii="Times New Roman" w:hAnsi="Times New Roman" w:cs="Times New Roman"/>
                <w:color w:val="auto"/>
                <w:lang w:bidi="ar"/>
              </w:rPr>
              <w:t>Climatologies at high resolution for the earth’s land surface areas</w:t>
            </w:r>
          </w:p>
        </w:tc>
        <w:tc>
          <w:tcPr>
            <w:tcW w:w="999" w:type="dxa"/>
            <w:tcBorders>
              <w:top w:val="nil"/>
              <w:left w:val="nil"/>
              <w:bottom w:val="nil"/>
              <w:right w:val="nil"/>
            </w:tcBorders>
            <w:shd w:val="clear" w:color="auto" w:fill="auto"/>
            <w:noWrap/>
            <w:vAlign w:val="center"/>
          </w:tcPr>
          <w:p w14:paraId="17C51221">
            <w:pPr>
              <w:widowControl w:val="0"/>
              <w:rPr>
                <w:rFonts w:ascii="Times New Roman" w:hAnsi="Times New Roman" w:cs="Times New Roman"/>
                <w:color w:val="auto"/>
                <w:lang w:bidi="ar"/>
              </w:rPr>
            </w:pPr>
            <w:r>
              <w:rPr>
                <w:rFonts w:ascii="Times New Roman" w:hAnsi="Times New Roman" w:cs="Times New Roman"/>
                <w:color w:val="auto"/>
                <w:lang w:bidi="ar"/>
              </w:rPr>
              <w:t>1000m</w:t>
            </w:r>
          </w:p>
        </w:tc>
        <w:tc>
          <w:tcPr>
            <w:tcW w:w="1537" w:type="dxa"/>
            <w:tcBorders>
              <w:top w:val="nil"/>
              <w:left w:val="nil"/>
              <w:bottom w:val="nil"/>
              <w:right w:val="nil"/>
            </w:tcBorders>
            <w:shd w:val="clear" w:color="auto" w:fill="auto"/>
            <w:noWrap/>
            <w:vAlign w:val="center"/>
          </w:tcPr>
          <w:p w14:paraId="0F277E2C">
            <w:pPr>
              <w:widowControl w:val="0"/>
              <w:rPr>
                <w:rFonts w:ascii="Times New Roman" w:hAnsi="Times New Roman" w:cs="Times New Roman"/>
                <w:color w:val="auto"/>
                <w:lang w:bidi="ar"/>
              </w:rPr>
            </w:pPr>
            <w:r>
              <w:rPr>
                <w:rFonts w:ascii="Times New Roman" w:hAnsi="Times New Roman" w:cs="Times New Roman"/>
                <w:color w:val="auto"/>
                <w:lang w:bidi="ar"/>
              </w:rPr>
              <w:t>197</w:t>
            </w:r>
            <w:r>
              <w:rPr>
                <w:rFonts w:hint="eastAsia" w:ascii="Times New Roman" w:hAnsi="Times New Roman" w:cs="Times New Roman"/>
                <w:color w:val="auto"/>
                <w:lang w:bidi="ar"/>
              </w:rPr>
              <w:t>9</w:t>
            </w:r>
            <w:r>
              <w:rPr>
                <w:rFonts w:ascii="Times New Roman" w:hAnsi="Times New Roman" w:cs="Times New Roman"/>
                <w:color w:val="auto"/>
                <w:lang w:bidi="ar"/>
              </w:rPr>
              <w:t>–20</w:t>
            </w:r>
            <w:r>
              <w:rPr>
                <w:rFonts w:hint="eastAsia" w:ascii="Times New Roman" w:hAnsi="Times New Roman" w:cs="Times New Roman"/>
                <w:color w:val="auto"/>
                <w:lang w:bidi="ar"/>
              </w:rPr>
              <w:t>13</w:t>
            </w:r>
            <w:r>
              <w:rPr>
                <w:rFonts w:ascii="Times New Roman" w:hAnsi="Times New Roman" w:cs="Times New Roman"/>
                <w:color w:val="auto"/>
                <w:lang w:bidi="ar"/>
              </w:rPr>
              <w:t xml:space="preserve"> </w:t>
            </w:r>
          </w:p>
        </w:tc>
      </w:tr>
      <w:tr w14:paraId="270C4080">
        <w:tblPrEx>
          <w:tblCellMar>
            <w:top w:w="0" w:type="dxa"/>
            <w:left w:w="108" w:type="dxa"/>
            <w:bottom w:w="0" w:type="dxa"/>
            <w:right w:w="108" w:type="dxa"/>
          </w:tblCellMar>
        </w:tblPrEx>
        <w:trPr>
          <w:trHeight w:val="90" w:hRule="atLeast"/>
        </w:trPr>
        <w:tc>
          <w:tcPr>
            <w:tcW w:w="1797" w:type="dxa"/>
            <w:vMerge w:val="continue"/>
            <w:tcBorders>
              <w:top w:val="nil"/>
              <w:left w:val="nil"/>
              <w:bottom w:val="single" w:color="000000" w:sz="8" w:space="0"/>
              <w:right w:val="nil"/>
            </w:tcBorders>
            <w:shd w:val="clear" w:color="auto" w:fill="auto"/>
            <w:noWrap/>
            <w:vAlign w:val="center"/>
          </w:tcPr>
          <w:p w14:paraId="58DA6574">
            <w:pPr>
              <w:rPr>
                <w:rFonts w:ascii="Times New Roman" w:hAnsi="Times New Roman" w:cs="Times New Roman"/>
                <w:color w:val="auto"/>
              </w:rPr>
            </w:pPr>
          </w:p>
        </w:tc>
        <w:tc>
          <w:tcPr>
            <w:tcW w:w="1947" w:type="dxa"/>
            <w:tcBorders>
              <w:top w:val="nil"/>
              <w:left w:val="nil"/>
              <w:bottom w:val="nil"/>
              <w:right w:val="nil"/>
            </w:tcBorders>
            <w:shd w:val="clear" w:color="auto" w:fill="auto"/>
            <w:noWrap/>
            <w:vAlign w:val="center"/>
          </w:tcPr>
          <w:p w14:paraId="57224ED3">
            <w:pPr>
              <w:widowControl w:val="0"/>
              <w:rPr>
                <w:rFonts w:ascii="Times New Roman" w:hAnsi="Times New Roman" w:cs="Times New Roman"/>
                <w:color w:val="auto"/>
              </w:rPr>
            </w:pPr>
            <w:r>
              <w:rPr>
                <w:rFonts w:ascii="Times New Roman" w:hAnsi="Times New Roman" w:cs="Times New Roman"/>
                <w:color w:val="auto"/>
                <w:lang w:bidi="ar"/>
              </w:rPr>
              <w:t>Precipitation</w:t>
            </w:r>
          </w:p>
        </w:tc>
        <w:tc>
          <w:tcPr>
            <w:tcW w:w="3496" w:type="dxa"/>
            <w:tcBorders>
              <w:top w:val="nil"/>
              <w:left w:val="nil"/>
              <w:bottom w:val="nil"/>
              <w:right w:val="nil"/>
            </w:tcBorders>
            <w:shd w:val="clear" w:color="auto" w:fill="auto"/>
            <w:noWrap/>
            <w:vAlign w:val="center"/>
          </w:tcPr>
          <w:p w14:paraId="68AB582F">
            <w:pPr>
              <w:widowControl w:val="0"/>
              <w:rPr>
                <w:rFonts w:ascii="Times New Roman" w:hAnsi="Times New Roman" w:cs="Times New Roman"/>
                <w:color w:val="auto"/>
              </w:rPr>
            </w:pPr>
            <w:r>
              <w:rPr>
                <w:rFonts w:ascii="Times New Roman" w:hAnsi="Times New Roman" w:cs="Times New Roman"/>
                <w:color w:val="auto"/>
                <w:lang w:bidi="ar"/>
              </w:rPr>
              <w:t>Climatologies at high resolution for the earth’s land surface areas</w:t>
            </w:r>
          </w:p>
        </w:tc>
        <w:tc>
          <w:tcPr>
            <w:tcW w:w="999" w:type="dxa"/>
            <w:tcBorders>
              <w:top w:val="nil"/>
              <w:left w:val="nil"/>
              <w:bottom w:val="nil"/>
              <w:right w:val="nil"/>
            </w:tcBorders>
            <w:shd w:val="clear" w:color="auto" w:fill="auto"/>
            <w:noWrap/>
            <w:vAlign w:val="center"/>
          </w:tcPr>
          <w:p w14:paraId="3945E9C6">
            <w:pPr>
              <w:widowControl w:val="0"/>
              <w:rPr>
                <w:rFonts w:ascii="Times New Roman" w:hAnsi="Times New Roman" w:cs="Times New Roman"/>
                <w:color w:val="auto"/>
                <w:lang w:bidi="ar"/>
              </w:rPr>
            </w:pPr>
            <w:r>
              <w:rPr>
                <w:rFonts w:ascii="Times New Roman" w:hAnsi="Times New Roman" w:cs="Times New Roman"/>
                <w:color w:val="auto"/>
                <w:lang w:bidi="ar"/>
              </w:rPr>
              <w:t>1000m</w:t>
            </w:r>
          </w:p>
        </w:tc>
        <w:tc>
          <w:tcPr>
            <w:tcW w:w="1537" w:type="dxa"/>
            <w:tcBorders>
              <w:top w:val="nil"/>
              <w:left w:val="nil"/>
              <w:bottom w:val="nil"/>
              <w:right w:val="nil"/>
            </w:tcBorders>
            <w:shd w:val="clear" w:color="auto" w:fill="auto"/>
            <w:noWrap/>
            <w:vAlign w:val="center"/>
          </w:tcPr>
          <w:p w14:paraId="7B88A139">
            <w:pPr>
              <w:widowControl w:val="0"/>
              <w:rPr>
                <w:rFonts w:ascii="Times New Roman" w:hAnsi="Times New Roman" w:cs="Times New Roman"/>
                <w:color w:val="auto"/>
                <w:lang w:bidi="ar"/>
              </w:rPr>
            </w:pPr>
            <w:r>
              <w:rPr>
                <w:rFonts w:ascii="Times New Roman" w:hAnsi="Times New Roman" w:cs="Times New Roman"/>
                <w:color w:val="auto"/>
                <w:lang w:bidi="ar"/>
              </w:rPr>
              <w:t>197</w:t>
            </w:r>
            <w:r>
              <w:rPr>
                <w:rFonts w:hint="eastAsia" w:ascii="Times New Roman" w:hAnsi="Times New Roman" w:cs="Times New Roman"/>
                <w:color w:val="auto"/>
                <w:lang w:bidi="ar"/>
              </w:rPr>
              <w:t>9</w:t>
            </w:r>
            <w:r>
              <w:rPr>
                <w:rFonts w:ascii="Times New Roman" w:hAnsi="Times New Roman" w:cs="Times New Roman"/>
                <w:color w:val="auto"/>
                <w:lang w:bidi="ar"/>
              </w:rPr>
              <w:t>–20</w:t>
            </w:r>
            <w:r>
              <w:rPr>
                <w:rFonts w:hint="eastAsia" w:ascii="Times New Roman" w:hAnsi="Times New Roman" w:cs="Times New Roman"/>
                <w:color w:val="auto"/>
                <w:lang w:bidi="ar"/>
              </w:rPr>
              <w:t>13</w:t>
            </w:r>
            <w:r>
              <w:rPr>
                <w:rFonts w:ascii="Times New Roman" w:hAnsi="Times New Roman" w:cs="Times New Roman"/>
                <w:color w:val="auto"/>
                <w:lang w:bidi="ar"/>
              </w:rPr>
              <w:t xml:space="preserve"> </w:t>
            </w:r>
          </w:p>
        </w:tc>
      </w:tr>
      <w:tr w14:paraId="6429800D">
        <w:tblPrEx>
          <w:tblCellMar>
            <w:top w:w="0" w:type="dxa"/>
            <w:left w:w="108" w:type="dxa"/>
            <w:bottom w:w="0" w:type="dxa"/>
            <w:right w:w="108" w:type="dxa"/>
          </w:tblCellMar>
        </w:tblPrEx>
        <w:trPr>
          <w:trHeight w:val="288" w:hRule="atLeast"/>
        </w:trPr>
        <w:tc>
          <w:tcPr>
            <w:tcW w:w="1797" w:type="dxa"/>
            <w:vMerge w:val="continue"/>
            <w:tcBorders>
              <w:top w:val="nil"/>
              <w:left w:val="nil"/>
              <w:bottom w:val="single" w:color="000000" w:sz="8" w:space="0"/>
              <w:right w:val="nil"/>
            </w:tcBorders>
            <w:shd w:val="clear" w:color="auto" w:fill="auto"/>
            <w:noWrap/>
            <w:vAlign w:val="center"/>
          </w:tcPr>
          <w:p w14:paraId="4F2B32DE">
            <w:pPr>
              <w:rPr>
                <w:rFonts w:ascii="Times New Roman" w:hAnsi="Times New Roman" w:cs="Times New Roman"/>
                <w:color w:val="auto"/>
              </w:rPr>
            </w:pPr>
          </w:p>
        </w:tc>
        <w:tc>
          <w:tcPr>
            <w:tcW w:w="1947" w:type="dxa"/>
            <w:tcBorders>
              <w:top w:val="nil"/>
              <w:left w:val="nil"/>
              <w:bottom w:val="nil"/>
              <w:right w:val="nil"/>
            </w:tcBorders>
            <w:shd w:val="clear" w:color="auto" w:fill="auto"/>
            <w:noWrap/>
            <w:vAlign w:val="center"/>
          </w:tcPr>
          <w:p w14:paraId="145C2520">
            <w:pPr>
              <w:widowControl w:val="0"/>
              <w:rPr>
                <w:rFonts w:ascii="Times New Roman" w:hAnsi="Times New Roman" w:cs="Times New Roman"/>
                <w:color w:val="auto"/>
              </w:rPr>
            </w:pPr>
            <w:r>
              <w:rPr>
                <w:rFonts w:ascii="Times New Roman" w:hAnsi="Times New Roman" w:cs="Times New Roman"/>
                <w:color w:val="auto"/>
                <w:lang w:bidi="ar"/>
              </w:rPr>
              <w:t>Radiation (SR, PAR, UR)</w:t>
            </w:r>
          </w:p>
        </w:tc>
        <w:tc>
          <w:tcPr>
            <w:tcW w:w="3496" w:type="dxa"/>
            <w:tcBorders>
              <w:top w:val="nil"/>
              <w:left w:val="nil"/>
              <w:bottom w:val="nil"/>
              <w:right w:val="nil"/>
            </w:tcBorders>
            <w:shd w:val="clear" w:color="auto" w:fill="auto"/>
            <w:noWrap/>
            <w:vAlign w:val="center"/>
          </w:tcPr>
          <w:p w14:paraId="5052E42C">
            <w:pPr>
              <w:widowControl w:val="0"/>
              <w:rPr>
                <w:rFonts w:ascii="Times New Roman" w:hAnsi="Times New Roman" w:cs="Times New Roman"/>
                <w:color w:val="auto"/>
              </w:rPr>
            </w:pPr>
            <w:r>
              <w:rPr>
                <w:rFonts w:ascii="Times New Roman" w:hAnsi="Times New Roman" w:cs="Times New Roman"/>
                <w:color w:val="auto"/>
                <w:lang w:bidi="ar"/>
              </w:rPr>
              <w:t>Science Data Bank</w:t>
            </w:r>
          </w:p>
        </w:tc>
        <w:tc>
          <w:tcPr>
            <w:tcW w:w="999" w:type="dxa"/>
            <w:tcBorders>
              <w:top w:val="nil"/>
              <w:left w:val="nil"/>
              <w:bottom w:val="nil"/>
              <w:right w:val="nil"/>
            </w:tcBorders>
            <w:shd w:val="clear" w:color="auto" w:fill="auto"/>
            <w:noWrap/>
            <w:vAlign w:val="center"/>
          </w:tcPr>
          <w:p w14:paraId="1BB3DECC">
            <w:pPr>
              <w:widowControl w:val="0"/>
              <w:rPr>
                <w:rFonts w:ascii="Times New Roman" w:hAnsi="Times New Roman" w:cs="Times New Roman"/>
                <w:color w:val="auto"/>
                <w:lang w:bidi="ar"/>
              </w:rPr>
            </w:pPr>
            <w:r>
              <w:rPr>
                <w:rFonts w:hint="eastAsia" w:ascii="Times New Roman" w:hAnsi="Times New Roman" w:cs="Times New Roman"/>
                <w:color w:val="auto"/>
                <w:lang w:bidi="ar"/>
              </w:rPr>
              <w:t>10km</w:t>
            </w:r>
          </w:p>
        </w:tc>
        <w:tc>
          <w:tcPr>
            <w:tcW w:w="1537" w:type="dxa"/>
            <w:tcBorders>
              <w:top w:val="nil"/>
              <w:left w:val="nil"/>
              <w:bottom w:val="nil"/>
              <w:right w:val="nil"/>
            </w:tcBorders>
            <w:shd w:val="clear" w:color="auto" w:fill="auto"/>
            <w:noWrap/>
            <w:vAlign w:val="center"/>
          </w:tcPr>
          <w:p w14:paraId="3A8586A4">
            <w:pPr>
              <w:widowControl w:val="0"/>
              <w:rPr>
                <w:rFonts w:ascii="Times New Roman" w:hAnsi="Times New Roman" w:cs="Times New Roman"/>
                <w:color w:val="auto"/>
                <w:lang w:bidi="ar"/>
              </w:rPr>
            </w:pPr>
            <w:r>
              <w:rPr>
                <w:rFonts w:ascii="Times New Roman" w:hAnsi="Times New Roman" w:cs="Times New Roman"/>
                <w:color w:val="auto"/>
                <w:lang w:bidi="ar"/>
              </w:rPr>
              <w:t>1981–2010</w:t>
            </w:r>
            <w:r>
              <w:rPr>
                <w:rFonts w:hint="eastAsia" w:ascii="Times New Roman" w:hAnsi="Times New Roman" w:cs="Times New Roman"/>
                <w:color w:val="auto"/>
                <w:lang w:bidi="ar"/>
              </w:rPr>
              <w:t xml:space="preserve"> (SR and PAR), </w:t>
            </w:r>
            <w:r>
              <w:rPr>
                <w:rFonts w:ascii="Times New Roman" w:hAnsi="Times New Roman" w:eastAsia="楷体" w:cs="Times New Roman"/>
                <w:bCs/>
                <w:color w:val="auto"/>
                <w:sz w:val="22"/>
                <w:szCs w:val="22"/>
                <w:lang w:bidi="ar"/>
              </w:rPr>
              <w:t>2005–2015</w:t>
            </w:r>
            <w:r>
              <w:rPr>
                <w:rFonts w:hint="eastAsia" w:ascii="Times New Roman" w:hAnsi="Times New Roman" w:eastAsia="楷体" w:cs="Times New Roman"/>
                <w:bCs/>
                <w:color w:val="auto"/>
                <w:sz w:val="22"/>
                <w:szCs w:val="22"/>
                <w:lang w:bidi="ar"/>
              </w:rPr>
              <w:t xml:space="preserve"> (UR)</w:t>
            </w:r>
          </w:p>
        </w:tc>
      </w:tr>
      <w:tr w14:paraId="6508FAB2">
        <w:tblPrEx>
          <w:tblCellMar>
            <w:top w:w="0" w:type="dxa"/>
            <w:left w:w="108" w:type="dxa"/>
            <w:bottom w:w="0" w:type="dxa"/>
            <w:right w:w="108" w:type="dxa"/>
          </w:tblCellMar>
        </w:tblPrEx>
        <w:trPr>
          <w:trHeight w:val="351" w:hRule="atLeast"/>
        </w:trPr>
        <w:tc>
          <w:tcPr>
            <w:tcW w:w="1797" w:type="dxa"/>
            <w:vMerge w:val="continue"/>
            <w:tcBorders>
              <w:top w:val="nil"/>
              <w:left w:val="nil"/>
              <w:bottom w:val="single" w:color="000000" w:sz="8" w:space="0"/>
              <w:right w:val="nil"/>
            </w:tcBorders>
            <w:shd w:val="clear" w:color="auto" w:fill="auto"/>
            <w:noWrap/>
            <w:vAlign w:val="center"/>
          </w:tcPr>
          <w:p w14:paraId="6CBFFDDD">
            <w:pPr>
              <w:rPr>
                <w:rFonts w:ascii="Times New Roman" w:hAnsi="Times New Roman" w:cs="Times New Roman"/>
                <w:color w:val="auto"/>
              </w:rPr>
            </w:pPr>
          </w:p>
        </w:tc>
        <w:tc>
          <w:tcPr>
            <w:tcW w:w="1947" w:type="dxa"/>
            <w:tcBorders>
              <w:top w:val="nil"/>
              <w:left w:val="nil"/>
              <w:bottom w:val="single" w:color="000000" w:sz="8" w:space="0"/>
              <w:right w:val="nil"/>
            </w:tcBorders>
            <w:shd w:val="clear" w:color="auto" w:fill="auto"/>
            <w:noWrap/>
            <w:vAlign w:val="center"/>
          </w:tcPr>
          <w:p w14:paraId="456B67D6">
            <w:pPr>
              <w:widowControl w:val="0"/>
              <w:rPr>
                <w:rFonts w:ascii="Times New Roman" w:hAnsi="Times New Roman" w:cs="Times New Roman"/>
                <w:color w:val="auto"/>
              </w:rPr>
            </w:pPr>
            <w:r>
              <w:rPr>
                <w:rFonts w:ascii="Times New Roman" w:hAnsi="Times New Roman" w:cs="Times New Roman"/>
                <w:color w:val="auto"/>
                <w:lang w:bidi="ar"/>
              </w:rPr>
              <w:t>P</w:t>
            </w:r>
            <w:r>
              <w:rPr>
                <w:rFonts w:hint="eastAsia" w:ascii="Times New Roman" w:hAnsi="Times New Roman" w:cs="Times New Roman"/>
                <w:color w:val="auto"/>
                <w:lang w:bidi="ar"/>
              </w:rPr>
              <w:t>C</w:t>
            </w:r>
            <w:r>
              <w:rPr>
                <w:rFonts w:ascii="Times New Roman" w:hAnsi="Times New Roman" w:cs="Times New Roman"/>
                <w:color w:val="auto"/>
                <w:lang w:bidi="ar"/>
              </w:rPr>
              <w:t>O</w:t>
            </w:r>
            <w:r>
              <w:rPr>
                <w:rStyle w:val="11"/>
                <w:rFonts w:eastAsia="宋体"/>
                <w:color w:val="auto"/>
                <w:lang w:bidi="ar"/>
              </w:rPr>
              <w:t>2</w:t>
            </w:r>
          </w:p>
        </w:tc>
        <w:tc>
          <w:tcPr>
            <w:tcW w:w="3496" w:type="dxa"/>
            <w:tcBorders>
              <w:top w:val="nil"/>
              <w:left w:val="nil"/>
              <w:bottom w:val="single" w:color="000000" w:sz="8" w:space="0"/>
              <w:right w:val="nil"/>
            </w:tcBorders>
            <w:shd w:val="clear" w:color="auto" w:fill="auto"/>
            <w:noWrap/>
            <w:vAlign w:val="center"/>
          </w:tcPr>
          <w:p w14:paraId="3C3EA294">
            <w:pPr>
              <w:widowControl w:val="0"/>
              <w:rPr>
                <w:rFonts w:ascii="Times New Roman" w:hAnsi="Times New Roman" w:cs="Times New Roman"/>
                <w:color w:val="auto"/>
              </w:rPr>
            </w:pPr>
            <w:r>
              <w:rPr>
                <w:rFonts w:ascii="Times New Roman" w:hAnsi="Times New Roman" w:cs="Times New Roman"/>
                <w:color w:val="auto"/>
                <w:lang w:bidi="ar"/>
              </w:rPr>
              <w:t>Calculated from altitude</w:t>
            </w:r>
          </w:p>
        </w:tc>
        <w:tc>
          <w:tcPr>
            <w:tcW w:w="999" w:type="dxa"/>
            <w:tcBorders>
              <w:top w:val="nil"/>
              <w:left w:val="nil"/>
              <w:bottom w:val="single" w:color="000000" w:sz="8" w:space="0"/>
              <w:right w:val="nil"/>
            </w:tcBorders>
            <w:shd w:val="clear" w:color="auto" w:fill="auto"/>
            <w:noWrap/>
            <w:vAlign w:val="center"/>
          </w:tcPr>
          <w:p w14:paraId="5E548744">
            <w:pPr>
              <w:widowControl w:val="0"/>
              <w:rPr>
                <w:rFonts w:ascii="Times New Roman" w:hAnsi="Times New Roman" w:cs="Times New Roman"/>
                <w:color w:val="auto"/>
                <w:lang w:bidi="ar"/>
              </w:rPr>
            </w:pPr>
            <w:r>
              <w:rPr>
                <w:rFonts w:hint="eastAsia" w:ascii="Times New Roman" w:hAnsi="Times New Roman" w:cs="Times New Roman"/>
                <w:color w:val="auto"/>
                <w:lang w:bidi="ar"/>
              </w:rPr>
              <w:t>0.5°</w:t>
            </w:r>
          </w:p>
        </w:tc>
        <w:tc>
          <w:tcPr>
            <w:tcW w:w="1537" w:type="dxa"/>
            <w:tcBorders>
              <w:top w:val="nil"/>
              <w:left w:val="nil"/>
              <w:bottom w:val="single" w:color="000000" w:sz="8" w:space="0"/>
              <w:right w:val="nil"/>
            </w:tcBorders>
            <w:shd w:val="clear" w:color="auto" w:fill="auto"/>
            <w:noWrap/>
            <w:vAlign w:val="center"/>
          </w:tcPr>
          <w:p w14:paraId="770A0072">
            <w:pPr>
              <w:widowControl w:val="0"/>
              <w:rPr>
                <w:rFonts w:ascii="Times New Roman" w:hAnsi="Times New Roman" w:cs="Times New Roman"/>
                <w:color w:val="auto"/>
                <w:lang w:bidi="ar"/>
              </w:rPr>
            </w:pPr>
            <w:r>
              <w:rPr>
                <w:rFonts w:ascii="Times New Roman" w:hAnsi="Times New Roman" w:cs="Times New Roman"/>
                <w:color w:val="auto"/>
                <w:lang w:bidi="ar"/>
              </w:rPr>
              <w:t>2019–202</w:t>
            </w:r>
            <w:r>
              <w:rPr>
                <w:rFonts w:hint="eastAsia" w:ascii="Times New Roman" w:hAnsi="Times New Roman" w:cs="Times New Roman"/>
                <w:color w:val="auto"/>
                <w:lang w:bidi="ar"/>
              </w:rPr>
              <w:t>2</w:t>
            </w:r>
          </w:p>
        </w:tc>
      </w:tr>
    </w:tbl>
    <w:p w14:paraId="69C31FF4">
      <w:pPr>
        <w:rPr>
          <w:rFonts w:ascii="Times New Roman" w:hAnsi="Times New Roman" w:cs="Times New Roman"/>
          <w:b/>
          <w:bCs/>
          <w:color w:val="auto"/>
        </w:rPr>
        <w:sectPr>
          <w:pgSz w:w="11906" w:h="16838"/>
          <w:pgMar w:top="1417" w:right="1417" w:bottom="1417" w:left="1417" w:header="851" w:footer="992" w:gutter="0"/>
          <w:cols w:space="0" w:num="1"/>
          <w:docGrid w:type="lines" w:linePitch="312" w:charSpace="0"/>
        </w:sectPr>
      </w:pPr>
    </w:p>
    <w:p w14:paraId="6CE57390">
      <w:pPr>
        <w:rPr>
          <w:rFonts w:ascii="Times New Roman" w:hAnsi="Times New Roman" w:eastAsia="宋体" w:cs="Times New Roman"/>
          <w:b/>
          <w:bCs/>
          <w:color w:val="auto"/>
          <w:kern w:val="0"/>
          <w:sz w:val="24"/>
        </w:rPr>
      </w:pPr>
      <w:r>
        <w:rPr>
          <w:rFonts w:ascii="Times New Roman" w:hAnsi="Times New Roman" w:eastAsia="宋体" w:cs="Times New Roman"/>
          <w:b/>
          <w:bCs/>
          <w:color w:val="auto"/>
          <w:kern w:val="0"/>
          <w:sz w:val="24"/>
        </w:rPr>
        <w:t xml:space="preserve">Table </w:t>
      </w:r>
      <w:r>
        <w:rPr>
          <w:rFonts w:hint="eastAsia"/>
          <w:b/>
          <w:bCs/>
          <w:color w:val="auto"/>
          <w:sz w:val="24"/>
        </w:rPr>
        <w:t>S</w:t>
      </w:r>
      <w:r>
        <w:rPr>
          <w:rFonts w:hint="eastAsia" w:ascii="Times New Roman" w:hAnsi="Times New Roman" w:eastAsia="宋体" w:cs="Times New Roman"/>
          <w:b/>
          <w:bCs/>
          <w:color w:val="auto"/>
          <w:kern w:val="0"/>
          <w:sz w:val="24"/>
        </w:rPr>
        <w:t>3</w:t>
      </w:r>
      <w:r>
        <w:rPr>
          <w:rFonts w:ascii="Times New Roman" w:hAnsi="Times New Roman" w:eastAsia="宋体" w:cs="Times New Roman"/>
          <w:b/>
          <w:bCs/>
          <w:color w:val="auto"/>
          <w:kern w:val="0"/>
          <w:sz w:val="24"/>
        </w:rPr>
        <w:t xml:space="preserve"> </w:t>
      </w:r>
      <w:r>
        <w:rPr>
          <w:rFonts w:hint="eastAsia" w:ascii="Times New Roman" w:hAnsi="Times New Roman" w:eastAsia="宋体" w:cs="Times New Roman"/>
          <w:b/>
          <w:bCs/>
          <w:color w:val="auto"/>
          <w:kern w:val="0"/>
          <w:sz w:val="24"/>
        </w:rPr>
        <w:t xml:space="preserve">The </w:t>
      </w:r>
      <w:r>
        <w:rPr>
          <w:rFonts w:ascii="Times New Roman" w:hAnsi="Times New Roman" w:eastAsia="宋体" w:cs="Times New Roman"/>
          <w:b/>
          <w:bCs/>
          <w:color w:val="auto"/>
          <w:kern w:val="0"/>
          <w:sz w:val="24"/>
        </w:rPr>
        <w:t xml:space="preserve">key parameters </w:t>
      </w:r>
      <w:r>
        <w:rPr>
          <w:rFonts w:hint="eastAsia" w:ascii="Times New Roman" w:hAnsi="Times New Roman" w:eastAsia="宋体" w:cs="Times New Roman"/>
          <w:b/>
          <w:bCs/>
          <w:color w:val="auto"/>
          <w:kern w:val="0"/>
          <w:sz w:val="24"/>
        </w:rPr>
        <w:t xml:space="preserve">of </w:t>
      </w:r>
      <w:r>
        <w:rPr>
          <w:rFonts w:ascii="Times New Roman" w:hAnsi="Times New Roman" w:eastAsia="宋体" w:cs="Times New Roman"/>
          <w:b/>
          <w:bCs/>
          <w:color w:val="auto"/>
          <w:kern w:val="0"/>
          <w:sz w:val="24"/>
        </w:rPr>
        <w:t xml:space="preserve">nitrogen (N) and phosphorus (P) </w:t>
      </w:r>
      <w:bookmarkStart w:id="2" w:name="_Hlk113215741"/>
      <w:r>
        <w:rPr>
          <w:rFonts w:hint="eastAsia" w:ascii="Times New Roman" w:hAnsi="Times New Roman" w:eastAsia="宋体" w:cs="Times New Roman"/>
          <w:b/>
          <w:bCs/>
          <w:color w:val="auto"/>
          <w:kern w:val="0"/>
          <w:sz w:val="24"/>
        </w:rPr>
        <w:t>among</w:t>
      </w:r>
      <w:r>
        <w:rPr>
          <w:rFonts w:ascii="Times New Roman" w:hAnsi="Times New Roman" w:eastAsia="宋体" w:cs="Times New Roman"/>
          <w:b/>
          <w:bCs/>
          <w:color w:val="auto"/>
          <w:kern w:val="0"/>
          <w:sz w:val="24"/>
        </w:rPr>
        <w:t xml:space="preserve"> different vegetation types</w:t>
      </w:r>
      <w:bookmarkEnd w:id="2"/>
      <w:r>
        <w:rPr>
          <w:rFonts w:ascii="Times New Roman" w:hAnsi="Times New Roman" w:eastAsia="宋体" w:cs="Times New Roman"/>
          <w:b/>
          <w:bCs/>
          <w:color w:val="auto"/>
          <w:kern w:val="0"/>
          <w:sz w:val="24"/>
        </w:rPr>
        <w:t xml:space="preserve"> </w:t>
      </w:r>
      <w:r>
        <w:rPr>
          <w:rFonts w:hint="eastAsia" w:ascii="Times New Roman" w:hAnsi="Times New Roman" w:eastAsia="宋体" w:cs="Times New Roman"/>
          <w:b/>
          <w:bCs/>
          <w:color w:val="auto"/>
          <w:kern w:val="0"/>
          <w:sz w:val="24"/>
        </w:rPr>
        <w:t>on</w:t>
      </w:r>
      <w:r>
        <w:rPr>
          <w:rFonts w:ascii="Times New Roman" w:hAnsi="Times New Roman" w:eastAsia="宋体" w:cs="Times New Roman"/>
          <w:b/>
          <w:bCs/>
          <w:color w:val="auto"/>
          <w:kern w:val="0"/>
          <w:sz w:val="24"/>
        </w:rPr>
        <w:t xml:space="preserve"> the Tibetan Plateau</w:t>
      </w:r>
    </w:p>
    <w:tbl>
      <w:tblPr>
        <w:tblStyle w:val="8"/>
        <w:tblW w:w="5000" w:type="pct"/>
        <w:tblInd w:w="0" w:type="dxa"/>
        <w:tblLayout w:type="autofit"/>
        <w:tblCellMar>
          <w:top w:w="0" w:type="dxa"/>
          <w:left w:w="108" w:type="dxa"/>
          <w:bottom w:w="0" w:type="dxa"/>
          <w:right w:w="108" w:type="dxa"/>
        </w:tblCellMar>
      </w:tblPr>
      <w:tblGrid>
        <w:gridCol w:w="1622"/>
        <w:gridCol w:w="1767"/>
        <w:gridCol w:w="2044"/>
        <w:gridCol w:w="1853"/>
        <w:gridCol w:w="1790"/>
        <w:gridCol w:w="1762"/>
        <w:gridCol w:w="1619"/>
        <w:gridCol w:w="1763"/>
      </w:tblGrid>
      <w:tr w14:paraId="61BD7E35">
        <w:tblPrEx>
          <w:tblCellMar>
            <w:top w:w="0" w:type="dxa"/>
            <w:left w:w="108" w:type="dxa"/>
            <w:bottom w:w="0" w:type="dxa"/>
            <w:right w:w="108" w:type="dxa"/>
          </w:tblCellMar>
        </w:tblPrEx>
        <w:trPr>
          <w:trHeight w:val="700" w:hRule="atLeast"/>
        </w:trPr>
        <w:tc>
          <w:tcPr>
            <w:tcW w:w="570" w:type="pct"/>
            <w:tcBorders>
              <w:top w:val="single" w:color="000000" w:sz="8" w:space="0"/>
              <w:left w:val="nil"/>
              <w:bottom w:val="single" w:color="000000" w:sz="8" w:space="0"/>
              <w:right w:val="nil"/>
            </w:tcBorders>
            <w:shd w:val="clear" w:color="auto" w:fill="DBDBDB"/>
            <w:vAlign w:val="center"/>
          </w:tcPr>
          <w:p w14:paraId="5CAACC3C">
            <w:pPr>
              <w:jc w:val="center"/>
              <w:textAlignment w:val="center"/>
              <w:rPr>
                <w:rFonts w:ascii="Times New Roman" w:hAnsi="Times New Roman" w:eastAsia="宋体" w:cs="Times New Roman"/>
                <w:b/>
                <w:bCs/>
                <w:color w:val="auto"/>
                <w:sz w:val="22"/>
                <w:szCs w:val="22"/>
              </w:rPr>
            </w:pPr>
          </w:p>
        </w:tc>
        <w:tc>
          <w:tcPr>
            <w:tcW w:w="621" w:type="pct"/>
            <w:tcBorders>
              <w:top w:val="single" w:color="000000" w:sz="8" w:space="0"/>
              <w:left w:val="nil"/>
              <w:bottom w:val="single" w:color="000000" w:sz="8" w:space="0"/>
              <w:right w:val="nil"/>
            </w:tcBorders>
            <w:shd w:val="clear" w:color="auto" w:fill="DBDBDB"/>
            <w:vAlign w:val="center"/>
          </w:tcPr>
          <w:p w14:paraId="640984AB">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Vegetation types</w:t>
            </w:r>
          </w:p>
        </w:tc>
        <w:tc>
          <w:tcPr>
            <w:tcW w:w="718" w:type="pct"/>
            <w:tcBorders>
              <w:top w:val="single" w:color="000000" w:sz="8" w:space="0"/>
              <w:left w:val="nil"/>
              <w:bottom w:val="single" w:color="000000" w:sz="8" w:space="0"/>
              <w:right w:val="nil"/>
            </w:tcBorders>
            <w:shd w:val="clear" w:color="auto" w:fill="DBDBDB"/>
            <w:vAlign w:val="center"/>
          </w:tcPr>
          <w:p w14:paraId="626E78A4">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GPP</w:t>
            </w:r>
            <w:r>
              <w:rPr>
                <w:rFonts w:ascii="Times New Roman" w:hAnsi="Times New Roman" w:eastAsia="宋体" w:cs="Times New Roman"/>
                <w:b/>
                <w:bCs/>
                <w:color w:val="auto"/>
                <w:kern w:val="0"/>
                <w:sz w:val="22"/>
                <w:szCs w:val="22"/>
                <w:lang w:bidi="ar"/>
              </w:rPr>
              <w:br w:type="textWrapping"/>
            </w:r>
            <w:r>
              <w:rPr>
                <w:rFonts w:ascii="Times New Roman" w:hAnsi="Times New Roman" w:eastAsia="宋体" w:cs="Times New Roman"/>
                <w:b/>
                <w:bCs/>
                <w:color w:val="auto"/>
                <w:kern w:val="0"/>
                <w:sz w:val="22"/>
                <w:szCs w:val="22"/>
                <w:lang w:bidi="ar"/>
              </w:rPr>
              <w:t>( gC m</w:t>
            </w:r>
            <w:r>
              <w:rPr>
                <w:rFonts w:hint="eastAsia" w:ascii="Times New Roman" w:hAnsi="Times New Roman" w:eastAsia="宋体" w:cs="Times New Roman"/>
                <w:b/>
                <w:bCs/>
                <w:color w:val="auto"/>
                <w:kern w:val="0"/>
                <w:sz w:val="22"/>
                <w:szCs w:val="22"/>
                <w:vertAlign w:val="superscript"/>
                <w:lang w:bidi="ar"/>
              </w:rPr>
              <w:t>–</w:t>
            </w:r>
            <w:r>
              <w:rPr>
                <w:rFonts w:ascii="Times New Roman" w:hAnsi="Times New Roman" w:eastAsia="宋体" w:cs="Times New Roman"/>
                <w:b/>
                <w:bCs/>
                <w:color w:val="auto"/>
                <w:kern w:val="0"/>
                <w:sz w:val="22"/>
                <w:szCs w:val="22"/>
                <w:vertAlign w:val="superscript"/>
                <w:lang w:bidi="ar"/>
              </w:rPr>
              <w:t>2</w:t>
            </w:r>
            <w:r>
              <w:rPr>
                <w:rFonts w:ascii="Times New Roman" w:hAnsi="Times New Roman" w:eastAsia="宋体" w:cs="Times New Roman"/>
                <w:b/>
                <w:bCs/>
                <w:color w:val="auto"/>
                <w:kern w:val="0"/>
                <w:sz w:val="22"/>
                <w:szCs w:val="22"/>
                <w:lang w:bidi="ar"/>
              </w:rPr>
              <w:t xml:space="preserve"> a</w:t>
            </w:r>
            <w:r>
              <w:rPr>
                <w:rFonts w:ascii="Times New Roman" w:hAnsi="Times New Roman" w:eastAsia="宋体" w:cs="Times New Roman"/>
                <w:b/>
                <w:bCs/>
                <w:color w:val="auto"/>
                <w:kern w:val="0"/>
                <w:sz w:val="22"/>
                <w:szCs w:val="22"/>
                <w:vertAlign w:val="superscript"/>
                <w:lang w:bidi="ar"/>
              </w:rPr>
              <w:t>–1</w:t>
            </w:r>
            <w:r>
              <w:rPr>
                <w:rFonts w:ascii="Times New Roman" w:hAnsi="Times New Roman" w:eastAsia="宋体" w:cs="Times New Roman"/>
                <w:b/>
                <w:bCs/>
                <w:color w:val="auto"/>
                <w:kern w:val="0"/>
                <w:sz w:val="22"/>
                <w:szCs w:val="22"/>
                <w:lang w:bidi="ar"/>
              </w:rPr>
              <w:t>)</w:t>
            </w:r>
          </w:p>
        </w:tc>
        <w:tc>
          <w:tcPr>
            <w:tcW w:w="651" w:type="pct"/>
            <w:tcBorders>
              <w:top w:val="single" w:color="000000" w:sz="8" w:space="0"/>
              <w:left w:val="nil"/>
              <w:bottom w:val="single" w:color="000000" w:sz="8" w:space="0"/>
              <w:right w:val="nil"/>
            </w:tcBorders>
            <w:shd w:val="clear" w:color="auto" w:fill="DBDBDB"/>
            <w:vAlign w:val="center"/>
          </w:tcPr>
          <w:p w14:paraId="6CBC0229">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 xml:space="preserve">N content </w:t>
            </w:r>
            <w:r>
              <w:rPr>
                <w:rFonts w:ascii="Times New Roman" w:hAnsi="Times New Roman" w:eastAsia="宋体" w:cs="Times New Roman"/>
                <w:b/>
                <w:bCs/>
                <w:color w:val="auto"/>
                <w:kern w:val="0"/>
                <w:sz w:val="22"/>
                <w:szCs w:val="22"/>
                <w:lang w:bidi="ar"/>
              </w:rPr>
              <w:br w:type="textWrapping"/>
            </w:r>
            <w:r>
              <w:rPr>
                <w:rFonts w:ascii="Times New Roman" w:hAnsi="Times New Roman" w:eastAsia="宋体" w:cs="Times New Roman"/>
                <w:b/>
                <w:bCs/>
                <w:color w:val="auto"/>
                <w:kern w:val="0"/>
                <w:sz w:val="22"/>
                <w:szCs w:val="22"/>
                <w:lang w:bidi="ar"/>
              </w:rPr>
              <w:t>(g kg</w:t>
            </w:r>
            <w:r>
              <w:rPr>
                <w:rFonts w:ascii="Times New Roman" w:hAnsi="Times New Roman" w:eastAsia="宋体" w:cs="Times New Roman"/>
                <w:b/>
                <w:bCs/>
                <w:color w:val="auto"/>
                <w:kern w:val="0"/>
                <w:sz w:val="22"/>
                <w:szCs w:val="22"/>
                <w:vertAlign w:val="superscript"/>
                <w:lang w:bidi="ar"/>
              </w:rPr>
              <w:t>–1</w:t>
            </w:r>
            <w:r>
              <w:rPr>
                <w:rFonts w:ascii="Times New Roman" w:hAnsi="Times New Roman" w:eastAsia="宋体" w:cs="Times New Roman"/>
                <w:b/>
                <w:bCs/>
                <w:color w:val="auto"/>
                <w:kern w:val="0"/>
                <w:sz w:val="22"/>
                <w:szCs w:val="22"/>
                <w:lang w:bidi="ar"/>
              </w:rPr>
              <w:t>)</w:t>
            </w:r>
          </w:p>
        </w:tc>
        <w:tc>
          <w:tcPr>
            <w:tcW w:w="629" w:type="pct"/>
            <w:tcBorders>
              <w:top w:val="single" w:color="000000" w:sz="8" w:space="0"/>
              <w:left w:val="nil"/>
              <w:bottom w:val="single" w:color="000000" w:sz="8" w:space="0"/>
              <w:right w:val="nil"/>
            </w:tcBorders>
            <w:shd w:val="clear" w:color="auto" w:fill="DBDBDB"/>
            <w:vAlign w:val="center"/>
          </w:tcPr>
          <w:p w14:paraId="1029D118">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 xml:space="preserve">P content </w:t>
            </w:r>
            <w:r>
              <w:rPr>
                <w:rFonts w:ascii="Times New Roman" w:hAnsi="Times New Roman" w:eastAsia="宋体" w:cs="Times New Roman"/>
                <w:b/>
                <w:bCs/>
                <w:color w:val="auto"/>
                <w:kern w:val="0"/>
                <w:sz w:val="22"/>
                <w:szCs w:val="22"/>
                <w:lang w:bidi="ar"/>
              </w:rPr>
              <w:br w:type="textWrapping"/>
            </w:r>
            <w:r>
              <w:rPr>
                <w:rFonts w:ascii="Times New Roman" w:hAnsi="Times New Roman" w:eastAsia="宋体" w:cs="Times New Roman"/>
                <w:b/>
                <w:bCs/>
                <w:color w:val="auto"/>
                <w:kern w:val="0"/>
                <w:sz w:val="22"/>
                <w:szCs w:val="22"/>
                <w:lang w:bidi="ar"/>
              </w:rPr>
              <w:t>(g kg</w:t>
            </w:r>
            <w:r>
              <w:rPr>
                <w:rFonts w:ascii="Times New Roman" w:hAnsi="Times New Roman" w:eastAsia="宋体" w:cs="Times New Roman"/>
                <w:b/>
                <w:bCs/>
                <w:color w:val="auto"/>
                <w:kern w:val="0"/>
                <w:sz w:val="22"/>
                <w:szCs w:val="22"/>
                <w:vertAlign w:val="superscript"/>
                <w:lang w:bidi="ar"/>
              </w:rPr>
              <w:t>–1</w:t>
            </w:r>
            <w:r>
              <w:rPr>
                <w:rFonts w:ascii="Times New Roman" w:hAnsi="Times New Roman" w:eastAsia="宋体" w:cs="Times New Roman"/>
                <w:b/>
                <w:bCs/>
                <w:color w:val="auto"/>
                <w:kern w:val="0"/>
                <w:sz w:val="22"/>
                <w:szCs w:val="22"/>
                <w:lang w:bidi="ar"/>
              </w:rPr>
              <w:t>)</w:t>
            </w:r>
          </w:p>
        </w:tc>
        <w:tc>
          <w:tcPr>
            <w:tcW w:w="619" w:type="pct"/>
            <w:tcBorders>
              <w:top w:val="single" w:color="000000" w:sz="8" w:space="0"/>
              <w:left w:val="nil"/>
              <w:bottom w:val="single" w:color="000000" w:sz="8" w:space="0"/>
              <w:right w:val="nil"/>
            </w:tcBorders>
            <w:shd w:val="clear" w:color="auto" w:fill="DBDBDB"/>
            <w:vAlign w:val="center"/>
          </w:tcPr>
          <w:p w14:paraId="6DA523C1">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 xml:space="preserve">N density </w:t>
            </w:r>
            <w:r>
              <w:rPr>
                <w:rFonts w:ascii="Times New Roman" w:hAnsi="Times New Roman" w:eastAsia="宋体" w:cs="Times New Roman"/>
                <w:b/>
                <w:bCs/>
                <w:color w:val="auto"/>
                <w:kern w:val="0"/>
                <w:sz w:val="22"/>
                <w:szCs w:val="22"/>
                <w:lang w:bidi="ar"/>
              </w:rPr>
              <w:br w:type="textWrapping"/>
            </w:r>
            <w:r>
              <w:rPr>
                <w:rFonts w:ascii="Times New Roman" w:hAnsi="Times New Roman" w:eastAsia="宋体" w:cs="Times New Roman"/>
                <w:b/>
                <w:bCs/>
                <w:color w:val="auto"/>
                <w:kern w:val="0"/>
                <w:sz w:val="22"/>
                <w:szCs w:val="22"/>
                <w:lang w:bidi="ar"/>
              </w:rPr>
              <w:t>(g m</w:t>
            </w:r>
            <w:r>
              <w:rPr>
                <w:rFonts w:ascii="Times New Roman" w:hAnsi="Times New Roman" w:eastAsia="宋体" w:cs="Times New Roman"/>
                <w:b/>
                <w:bCs/>
                <w:color w:val="auto"/>
                <w:kern w:val="0"/>
                <w:sz w:val="22"/>
                <w:szCs w:val="22"/>
                <w:vertAlign w:val="superscript"/>
                <w:lang w:bidi="ar"/>
              </w:rPr>
              <w:t>–2</w:t>
            </w:r>
            <w:r>
              <w:rPr>
                <w:rFonts w:ascii="Times New Roman" w:hAnsi="Times New Roman" w:eastAsia="宋体" w:cs="Times New Roman"/>
                <w:b/>
                <w:bCs/>
                <w:color w:val="auto"/>
                <w:kern w:val="0"/>
                <w:sz w:val="22"/>
                <w:szCs w:val="22"/>
                <w:lang w:bidi="ar"/>
              </w:rPr>
              <w:t>)</w:t>
            </w:r>
          </w:p>
        </w:tc>
        <w:tc>
          <w:tcPr>
            <w:tcW w:w="569" w:type="pct"/>
            <w:tcBorders>
              <w:top w:val="single" w:color="000000" w:sz="8" w:space="0"/>
              <w:left w:val="nil"/>
              <w:bottom w:val="single" w:color="000000" w:sz="8" w:space="0"/>
              <w:right w:val="nil"/>
            </w:tcBorders>
            <w:shd w:val="clear" w:color="auto" w:fill="DBDBDB"/>
            <w:vAlign w:val="center"/>
          </w:tcPr>
          <w:p w14:paraId="34261A8F">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 xml:space="preserve">P density </w:t>
            </w:r>
            <w:r>
              <w:rPr>
                <w:rFonts w:ascii="Times New Roman" w:hAnsi="Times New Roman" w:eastAsia="宋体" w:cs="Times New Roman"/>
                <w:b/>
                <w:bCs/>
                <w:color w:val="auto"/>
                <w:kern w:val="0"/>
                <w:sz w:val="22"/>
                <w:szCs w:val="22"/>
                <w:lang w:bidi="ar"/>
              </w:rPr>
              <w:br w:type="textWrapping"/>
            </w:r>
            <w:r>
              <w:rPr>
                <w:rFonts w:ascii="Times New Roman" w:hAnsi="Times New Roman" w:eastAsia="宋体" w:cs="Times New Roman"/>
                <w:b/>
                <w:bCs/>
                <w:color w:val="auto"/>
                <w:kern w:val="0"/>
                <w:sz w:val="22"/>
                <w:szCs w:val="22"/>
                <w:lang w:bidi="ar"/>
              </w:rPr>
              <w:t>(g m</w:t>
            </w:r>
            <w:r>
              <w:rPr>
                <w:rFonts w:ascii="Times New Roman" w:hAnsi="Times New Roman" w:eastAsia="宋体" w:cs="Times New Roman"/>
                <w:b/>
                <w:bCs/>
                <w:color w:val="auto"/>
                <w:kern w:val="0"/>
                <w:sz w:val="22"/>
                <w:szCs w:val="22"/>
                <w:vertAlign w:val="superscript"/>
                <w:lang w:bidi="ar"/>
              </w:rPr>
              <w:t>–2</w:t>
            </w:r>
            <w:r>
              <w:rPr>
                <w:rFonts w:ascii="Times New Roman" w:hAnsi="Times New Roman" w:eastAsia="宋体" w:cs="Times New Roman"/>
                <w:b/>
                <w:bCs/>
                <w:color w:val="auto"/>
                <w:kern w:val="0"/>
                <w:sz w:val="22"/>
                <w:szCs w:val="22"/>
                <w:lang w:bidi="ar"/>
              </w:rPr>
              <w:t>)</w:t>
            </w:r>
          </w:p>
        </w:tc>
        <w:tc>
          <w:tcPr>
            <w:tcW w:w="619" w:type="pct"/>
            <w:tcBorders>
              <w:top w:val="single" w:color="000000" w:sz="8" w:space="0"/>
              <w:left w:val="nil"/>
              <w:bottom w:val="single" w:color="000000" w:sz="8" w:space="0"/>
              <w:right w:val="nil"/>
            </w:tcBorders>
            <w:shd w:val="clear" w:color="auto" w:fill="DBDBDB"/>
            <w:vAlign w:val="center"/>
          </w:tcPr>
          <w:p w14:paraId="6AFED7BD">
            <w:pPr>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N: P</w:t>
            </w:r>
          </w:p>
        </w:tc>
      </w:tr>
      <w:tr w14:paraId="2925E139">
        <w:tblPrEx>
          <w:tblCellMar>
            <w:top w:w="0" w:type="dxa"/>
            <w:left w:w="108" w:type="dxa"/>
            <w:bottom w:w="0" w:type="dxa"/>
            <w:right w:w="108" w:type="dxa"/>
          </w:tblCellMar>
        </w:tblPrEx>
        <w:trPr>
          <w:trHeight w:val="308" w:hRule="atLeast"/>
        </w:trPr>
        <w:tc>
          <w:tcPr>
            <w:tcW w:w="570" w:type="pct"/>
            <w:vMerge w:val="restart"/>
            <w:tcBorders>
              <w:top w:val="nil"/>
              <w:left w:val="nil"/>
              <w:bottom w:val="nil"/>
              <w:right w:val="nil"/>
            </w:tcBorders>
            <w:shd w:val="clear" w:color="auto" w:fill="auto"/>
            <w:noWrap/>
          </w:tcPr>
          <w:p w14:paraId="3D798A64">
            <w:pPr>
              <w:spacing w:line="1200" w:lineRule="auto"/>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Forest</w:t>
            </w:r>
          </w:p>
        </w:tc>
        <w:tc>
          <w:tcPr>
            <w:tcW w:w="621" w:type="pct"/>
            <w:tcBorders>
              <w:top w:val="nil"/>
              <w:left w:val="nil"/>
              <w:bottom w:val="nil"/>
              <w:right w:val="nil"/>
            </w:tcBorders>
            <w:shd w:val="clear" w:color="auto" w:fill="auto"/>
            <w:noWrap/>
          </w:tcPr>
          <w:p w14:paraId="1251AA1D">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EBF</w:t>
            </w:r>
            <w:r>
              <w:rPr>
                <w:rFonts w:ascii="Times New Roman" w:hAnsi="Times New Roman" w:eastAsia="宋体" w:cs="Times New Roman"/>
                <w:color w:val="auto"/>
                <w:kern w:val="0"/>
                <w:sz w:val="24"/>
                <w:vertAlign w:val="superscript"/>
                <w:lang w:bidi="ar"/>
              </w:rPr>
              <w:t>†</w:t>
            </w:r>
          </w:p>
        </w:tc>
        <w:tc>
          <w:tcPr>
            <w:tcW w:w="718" w:type="pct"/>
            <w:tcBorders>
              <w:top w:val="nil"/>
              <w:left w:val="nil"/>
              <w:bottom w:val="nil"/>
              <w:right w:val="nil"/>
            </w:tcBorders>
            <w:shd w:val="clear" w:color="auto" w:fill="auto"/>
            <w:noWrap/>
            <w:vAlign w:val="center"/>
          </w:tcPr>
          <w:p w14:paraId="46A898BF">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268.37 ± 24.57</w:t>
            </w:r>
          </w:p>
        </w:tc>
        <w:tc>
          <w:tcPr>
            <w:tcW w:w="651" w:type="pct"/>
            <w:tcBorders>
              <w:top w:val="nil"/>
              <w:left w:val="nil"/>
              <w:bottom w:val="nil"/>
              <w:right w:val="nil"/>
            </w:tcBorders>
            <w:shd w:val="clear" w:color="auto" w:fill="auto"/>
            <w:noWrap/>
            <w:vAlign w:val="center"/>
          </w:tcPr>
          <w:p w14:paraId="3B56EDE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16.31 ± 1.33</w:t>
            </w:r>
          </w:p>
        </w:tc>
        <w:tc>
          <w:tcPr>
            <w:tcW w:w="629" w:type="pct"/>
            <w:tcBorders>
              <w:top w:val="nil"/>
              <w:left w:val="nil"/>
              <w:bottom w:val="nil"/>
              <w:right w:val="nil"/>
            </w:tcBorders>
            <w:shd w:val="clear" w:color="auto" w:fill="auto"/>
            <w:noWrap/>
            <w:vAlign w:val="center"/>
          </w:tcPr>
          <w:p w14:paraId="1546DCF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0.89 ± 0.05</w:t>
            </w:r>
          </w:p>
        </w:tc>
        <w:tc>
          <w:tcPr>
            <w:tcW w:w="619" w:type="pct"/>
            <w:tcBorders>
              <w:top w:val="nil"/>
              <w:left w:val="nil"/>
              <w:bottom w:val="nil"/>
              <w:right w:val="nil"/>
            </w:tcBorders>
            <w:shd w:val="clear" w:color="auto" w:fill="auto"/>
            <w:noWrap/>
            <w:vAlign w:val="center"/>
          </w:tcPr>
          <w:p w14:paraId="3F470A0C">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12.73 ± 3.04</w:t>
            </w:r>
          </w:p>
        </w:tc>
        <w:tc>
          <w:tcPr>
            <w:tcW w:w="569" w:type="pct"/>
            <w:tcBorders>
              <w:top w:val="nil"/>
              <w:left w:val="nil"/>
              <w:bottom w:val="nil"/>
              <w:right w:val="nil"/>
            </w:tcBorders>
            <w:shd w:val="clear" w:color="auto" w:fill="auto"/>
            <w:noWrap/>
            <w:vAlign w:val="center"/>
          </w:tcPr>
          <w:p w14:paraId="5256754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0.68 ± 0.14</w:t>
            </w:r>
          </w:p>
        </w:tc>
        <w:tc>
          <w:tcPr>
            <w:tcW w:w="619" w:type="pct"/>
            <w:tcBorders>
              <w:top w:val="nil"/>
              <w:left w:val="nil"/>
              <w:bottom w:val="nil"/>
              <w:right w:val="nil"/>
            </w:tcBorders>
            <w:shd w:val="clear" w:color="auto" w:fill="auto"/>
            <w:noWrap/>
            <w:vAlign w:val="center"/>
          </w:tcPr>
          <w:p w14:paraId="31D88B0C">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19.28 ± 1.86</w:t>
            </w:r>
          </w:p>
        </w:tc>
      </w:tr>
      <w:tr w14:paraId="5FCDC5D8">
        <w:tblPrEx>
          <w:tblCellMar>
            <w:top w:w="0" w:type="dxa"/>
            <w:left w:w="108" w:type="dxa"/>
            <w:bottom w:w="0" w:type="dxa"/>
            <w:right w:w="108" w:type="dxa"/>
          </w:tblCellMar>
        </w:tblPrEx>
        <w:trPr>
          <w:trHeight w:val="308" w:hRule="atLeast"/>
        </w:trPr>
        <w:tc>
          <w:tcPr>
            <w:tcW w:w="570" w:type="pct"/>
            <w:vMerge w:val="continue"/>
            <w:tcBorders>
              <w:top w:val="nil"/>
              <w:left w:val="nil"/>
              <w:bottom w:val="nil"/>
              <w:right w:val="nil"/>
            </w:tcBorders>
            <w:shd w:val="clear" w:color="auto" w:fill="auto"/>
            <w:noWrap/>
          </w:tcPr>
          <w:p w14:paraId="33376766">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6ED09CA3">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ECF</w:t>
            </w:r>
          </w:p>
        </w:tc>
        <w:tc>
          <w:tcPr>
            <w:tcW w:w="718" w:type="pct"/>
            <w:tcBorders>
              <w:top w:val="nil"/>
              <w:left w:val="nil"/>
              <w:bottom w:val="nil"/>
              <w:right w:val="nil"/>
            </w:tcBorders>
            <w:shd w:val="clear" w:color="auto" w:fill="auto"/>
            <w:noWrap/>
            <w:vAlign w:val="center"/>
          </w:tcPr>
          <w:p w14:paraId="7634F37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214.12 ± 12.44</w:t>
            </w:r>
          </w:p>
        </w:tc>
        <w:tc>
          <w:tcPr>
            <w:tcW w:w="651" w:type="pct"/>
            <w:tcBorders>
              <w:top w:val="nil"/>
              <w:left w:val="nil"/>
              <w:bottom w:val="nil"/>
              <w:right w:val="nil"/>
            </w:tcBorders>
            <w:shd w:val="clear" w:color="auto" w:fill="auto"/>
            <w:noWrap/>
            <w:vAlign w:val="center"/>
          </w:tcPr>
          <w:p w14:paraId="77959B0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19.76 ± 0.91</w:t>
            </w:r>
          </w:p>
        </w:tc>
        <w:tc>
          <w:tcPr>
            <w:tcW w:w="629" w:type="pct"/>
            <w:tcBorders>
              <w:top w:val="nil"/>
              <w:left w:val="nil"/>
              <w:bottom w:val="nil"/>
              <w:right w:val="nil"/>
            </w:tcBorders>
            <w:shd w:val="clear" w:color="auto" w:fill="auto"/>
            <w:noWrap/>
            <w:vAlign w:val="center"/>
          </w:tcPr>
          <w:p w14:paraId="5040870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0.94 ± 0.05</w:t>
            </w:r>
          </w:p>
        </w:tc>
        <w:tc>
          <w:tcPr>
            <w:tcW w:w="619" w:type="pct"/>
            <w:tcBorders>
              <w:top w:val="nil"/>
              <w:left w:val="nil"/>
              <w:bottom w:val="nil"/>
              <w:right w:val="nil"/>
            </w:tcBorders>
            <w:shd w:val="clear" w:color="auto" w:fill="auto"/>
            <w:noWrap/>
            <w:vAlign w:val="center"/>
          </w:tcPr>
          <w:p w14:paraId="64D6C022">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29.51 ± 3.31</w:t>
            </w:r>
          </w:p>
        </w:tc>
        <w:tc>
          <w:tcPr>
            <w:tcW w:w="569" w:type="pct"/>
            <w:tcBorders>
              <w:top w:val="nil"/>
              <w:left w:val="nil"/>
              <w:bottom w:val="nil"/>
              <w:right w:val="nil"/>
            </w:tcBorders>
            <w:shd w:val="clear" w:color="auto" w:fill="auto"/>
            <w:noWrap/>
            <w:vAlign w:val="center"/>
          </w:tcPr>
          <w:p w14:paraId="5EA8B232">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1.4 ± 0.18</w:t>
            </w:r>
          </w:p>
        </w:tc>
        <w:tc>
          <w:tcPr>
            <w:tcW w:w="619" w:type="pct"/>
            <w:tcBorders>
              <w:top w:val="nil"/>
              <w:left w:val="nil"/>
              <w:bottom w:val="nil"/>
              <w:right w:val="nil"/>
            </w:tcBorders>
            <w:shd w:val="clear" w:color="auto" w:fill="auto"/>
            <w:noWrap/>
            <w:vAlign w:val="center"/>
          </w:tcPr>
          <w:p w14:paraId="4116E01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21.72 ± 1.05</w:t>
            </w:r>
          </w:p>
        </w:tc>
      </w:tr>
      <w:tr w14:paraId="2BE8CA31">
        <w:tblPrEx>
          <w:tblCellMar>
            <w:top w:w="0" w:type="dxa"/>
            <w:left w:w="108" w:type="dxa"/>
            <w:bottom w:w="0" w:type="dxa"/>
            <w:right w:w="108" w:type="dxa"/>
          </w:tblCellMar>
        </w:tblPrEx>
        <w:trPr>
          <w:trHeight w:val="308" w:hRule="atLeast"/>
        </w:trPr>
        <w:tc>
          <w:tcPr>
            <w:tcW w:w="570" w:type="pct"/>
            <w:vMerge w:val="continue"/>
            <w:tcBorders>
              <w:top w:val="nil"/>
              <w:left w:val="nil"/>
              <w:bottom w:val="nil"/>
              <w:right w:val="nil"/>
            </w:tcBorders>
            <w:shd w:val="clear" w:color="auto" w:fill="auto"/>
            <w:noWrap/>
          </w:tcPr>
          <w:p w14:paraId="47F28C9E">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2E96CB42">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DBF</w:t>
            </w:r>
          </w:p>
        </w:tc>
        <w:tc>
          <w:tcPr>
            <w:tcW w:w="718" w:type="pct"/>
            <w:tcBorders>
              <w:top w:val="nil"/>
              <w:left w:val="nil"/>
              <w:bottom w:val="nil"/>
              <w:right w:val="nil"/>
            </w:tcBorders>
            <w:shd w:val="clear" w:color="auto" w:fill="auto"/>
            <w:noWrap/>
            <w:vAlign w:val="center"/>
          </w:tcPr>
          <w:p w14:paraId="1806E74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220.99 ± 14.06</w:t>
            </w:r>
          </w:p>
        </w:tc>
        <w:tc>
          <w:tcPr>
            <w:tcW w:w="651" w:type="pct"/>
            <w:tcBorders>
              <w:top w:val="nil"/>
              <w:left w:val="nil"/>
              <w:bottom w:val="nil"/>
              <w:right w:val="nil"/>
            </w:tcBorders>
            <w:shd w:val="clear" w:color="auto" w:fill="auto"/>
            <w:noWrap/>
            <w:vAlign w:val="center"/>
          </w:tcPr>
          <w:p w14:paraId="592A59A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18.88 ± 0.89</w:t>
            </w:r>
          </w:p>
        </w:tc>
        <w:tc>
          <w:tcPr>
            <w:tcW w:w="629" w:type="pct"/>
            <w:tcBorders>
              <w:top w:val="nil"/>
              <w:left w:val="nil"/>
              <w:bottom w:val="nil"/>
              <w:right w:val="nil"/>
            </w:tcBorders>
            <w:shd w:val="clear" w:color="auto" w:fill="auto"/>
            <w:noWrap/>
            <w:vAlign w:val="center"/>
          </w:tcPr>
          <w:p w14:paraId="5FA0F1B1">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0.86 ± 0.04</w:t>
            </w:r>
          </w:p>
        </w:tc>
        <w:tc>
          <w:tcPr>
            <w:tcW w:w="619" w:type="pct"/>
            <w:tcBorders>
              <w:top w:val="nil"/>
              <w:left w:val="nil"/>
              <w:bottom w:val="nil"/>
              <w:right w:val="nil"/>
            </w:tcBorders>
            <w:shd w:val="clear" w:color="auto" w:fill="auto"/>
            <w:noWrap/>
            <w:vAlign w:val="center"/>
          </w:tcPr>
          <w:p w14:paraId="04B73E60">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18.5 ± 2.73</w:t>
            </w:r>
          </w:p>
        </w:tc>
        <w:tc>
          <w:tcPr>
            <w:tcW w:w="569" w:type="pct"/>
            <w:tcBorders>
              <w:top w:val="nil"/>
              <w:left w:val="nil"/>
              <w:bottom w:val="nil"/>
              <w:right w:val="nil"/>
            </w:tcBorders>
            <w:shd w:val="clear" w:color="auto" w:fill="auto"/>
            <w:noWrap/>
            <w:vAlign w:val="center"/>
          </w:tcPr>
          <w:p w14:paraId="477A2FE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 ± 0.11</w:t>
            </w:r>
          </w:p>
        </w:tc>
        <w:tc>
          <w:tcPr>
            <w:tcW w:w="619" w:type="pct"/>
            <w:tcBorders>
              <w:top w:val="nil"/>
              <w:left w:val="nil"/>
              <w:bottom w:val="nil"/>
              <w:right w:val="nil"/>
            </w:tcBorders>
            <w:shd w:val="clear" w:color="auto" w:fill="auto"/>
            <w:noWrap/>
            <w:vAlign w:val="center"/>
          </w:tcPr>
          <w:p w14:paraId="3E5C7F1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23.47 ± 1.31</w:t>
            </w:r>
          </w:p>
        </w:tc>
      </w:tr>
      <w:tr w14:paraId="71A05D36">
        <w:tblPrEx>
          <w:tblCellMar>
            <w:top w:w="0" w:type="dxa"/>
            <w:left w:w="108" w:type="dxa"/>
            <w:bottom w:w="0" w:type="dxa"/>
            <w:right w:w="108" w:type="dxa"/>
          </w:tblCellMar>
        </w:tblPrEx>
        <w:trPr>
          <w:trHeight w:val="306" w:hRule="atLeast"/>
        </w:trPr>
        <w:tc>
          <w:tcPr>
            <w:tcW w:w="570" w:type="pct"/>
            <w:vMerge w:val="continue"/>
            <w:tcBorders>
              <w:top w:val="nil"/>
              <w:left w:val="nil"/>
              <w:bottom w:val="nil"/>
              <w:right w:val="nil"/>
            </w:tcBorders>
            <w:shd w:val="clear" w:color="auto" w:fill="auto"/>
            <w:noWrap/>
          </w:tcPr>
          <w:p w14:paraId="382094D9">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064F7EC6">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MF</w:t>
            </w:r>
          </w:p>
        </w:tc>
        <w:tc>
          <w:tcPr>
            <w:tcW w:w="718" w:type="pct"/>
            <w:tcBorders>
              <w:top w:val="nil"/>
              <w:left w:val="nil"/>
              <w:bottom w:val="nil"/>
              <w:right w:val="nil"/>
            </w:tcBorders>
            <w:shd w:val="clear" w:color="auto" w:fill="auto"/>
            <w:noWrap/>
            <w:vAlign w:val="center"/>
          </w:tcPr>
          <w:p w14:paraId="29942F38">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261.63 ± 28.99</w:t>
            </w:r>
          </w:p>
        </w:tc>
        <w:tc>
          <w:tcPr>
            <w:tcW w:w="651" w:type="pct"/>
            <w:tcBorders>
              <w:top w:val="nil"/>
              <w:left w:val="nil"/>
              <w:bottom w:val="nil"/>
              <w:right w:val="nil"/>
            </w:tcBorders>
            <w:shd w:val="clear" w:color="auto" w:fill="auto"/>
            <w:noWrap/>
            <w:vAlign w:val="center"/>
          </w:tcPr>
          <w:p w14:paraId="3C83991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15.89 ± 1.83</w:t>
            </w:r>
          </w:p>
        </w:tc>
        <w:tc>
          <w:tcPr>
            <w:tcW w:w="629" w:type="pct"/>
            <w:tcBorders>
              <w:top w:val="nil"/>
              <w:left w:val="nil"/>
              <w:bottom w:val="nil"/>
              <w:right w:val="nil"/>
            </w:tcBorders>
            <w:shd w:val="clear" w:color="auto" w:fill="auto"/>
            <w:noWrap/>
            <w:vAlign w:val="center"/>
          </w:tcPr>
          <w:p w14:paraId="03E672E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0.78 ± 0.15</w:t>
            </w:r>
          </w:p>
        </w:tc>
        <w:tc>
          <w:tcPr>
            <w:tcW w:w="619" w:type="pct"/>
            <w:tcBorders>
              <w:top w:val="nil"/>
              <w:left w:val="nil"/>
              <w:bottom w:val="nil"/>
              <w:right w:val="nil"/>
            </w:tcBorders>
            <w:shd w:val="clear" w:color="auto" w:fill="auto"/>
            <w:noWrap/>
            <w:vAlign w:val="center"/>
          </w:tcPr>
          <w:p w14:paraId="38C56ECF">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10.12 ± 1.31</w:t>
            </w:r>
          </w:p>
        </w:tc>
        <w:tc>
          <w:tcPr>
            <w:tcW w:w="569" w:type="pct"/>
            <w:tcBorders>
              <w:top w:val="nil"/>
              <w:left w:val="nil"/>
              <w:bottom w:val="nil"/>
              <w:right w:val="nil"/>
            </w:tcBorders>
            <w:shd w:val="clear" w:color="auto" w:fill="auto"/>
            <w:noWrap/>
            <w:vAlign w:val="center"/>
          </w:tcPr>
          <w:p w14:paraId="716E4C1D">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0.44 ± 0.08</w:t>
            </w:r>
          </w:p>
        </w:tc>
        <w:tc>
          <w:tcPr>
            <w:tcW w:w="619" w:type="pct"/>
            <w:tcBorders>
              <w:top w:val="nil"/>
              <w:left w:val="nil"/>
              <w:bottom w:val="nil"/>
              <w:right w:val="nil"/>
            </w:tcBorders>
            <w:shd w:val="clear" w:color="auto" w:fill="auto"/>
            <w:noWrap/>
            <w:vAlign w:val="center"/>
          </w:tcPr>
          <w:p w14:paraId="575B8BE8">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21.93 ± 3.68</w:t>
            </w:r>
          </w:p>
        </w:tc>
      </w:tr>
      <w:tr w14:paraId="137EE83E">
        <w:tblPrEx>
          <w:tblCellMar>
            <w:top w:w="0" w:type="dxa"/>
            <w:left w:w="108" w:type="dxa"/>
            <w:bottom w:w="0" w:type="dxa"/>
            <w:right w:w="108" w:type="dxa"/>
          </w:tblCellMar>
        </w:tblPrEx>
        <w:trPr>
          <w:trHeight w:val="90" w:hRule="atLeast"/>
        </w:trPr>
        <w:tc>
          <w:tcPr>
            <w:tcW w:w="570" w:type="pct"/>
            <w:vMerge w:val="continue"/>
            <w:tcBorders>
              <w:top w:val="nil"/>
              <w:left w:val="nil"/>
              <w:bottom w:val="nil"/>
              <w:right w:val="nil"/>
            </w:tcBorders>
            <w:shd w:val="clear" w:color="auto" w:fill="auto"/>
            <w:noWrap/>
          </w:tcPr>
          <w:p w14:paraId="3A612AD2">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3B8D8F14">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Total</w:t>
            </w:r>
          </w:p>
        </w:tc>
        <w:tc>
          <w:tcPr>
            <w:tcW w:w="718" w:type="pct"/>
            <w:tcBorders>
              <w:top w:val="nil"/>
              <w:left w:val="nil"/>
              <w:bottom w:val="nil"/>
              <w:right w:val="nil"/>
            </w:tcBorders>
            <w:shd w:val="clear" w:color="auto" w:fill="auto"/>
            <w:noWrap/>
            <w:vAlign w:val="center"/>
          </w:tcPr>
          <w:p w14:paraId="6CB1E57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241.28 ± 10.18</w:t>
            </w:r>
          </w:p>
        </w:tc>
        <w:tc>
          <w:tcPr>
            <w:tcW w:w="651" w:type="pct"/>
            <w:tcBorders>
              <w:top w:val="nil"/>
              <w:left w:val="nil"/>
              <w:bottom w:val="nil"/>
              <w:right w:val="nil"/>
            </w:tcBorders>
            <w:shd w:val="clear" w:color="auto" w:fill="auto"/>
            <w:noWrap/>
            <w:vAlign w:val="center"/>
          </w:tcPr>
          <w:p w14:paraId="0DAE9AD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17.71</w:t>
            </w:r>
            <w:r>
              <w:rPr>
                <w:rFonts w:ascii="Times New Roman" w:hAnsi="Times New Roman" w:eastAsia="宋体" w:cs="Times New Roman"/>
                <w:color w:val="auto"/>
                <w:kern w:val="0"/>
                <w:sz w:val="20"/>
                <w:szCs w:val="20"/>
                <w:vertAlign w:val="superscript"/>
                <w:lang w:bidi="ar"/>
              </w:rPr>
              <w:t>b</w:t>
            </w:r>
            <w:r>
              <w:rPr>
                <w:rFonts w:ascii="Times New Roman" w:hAnsi="Times New Roman" w:eastAsia="宋体" w:cs="Times New Roman"/>
                <w:color w:val="auto"/>
                <w:kern w:val="0"/>
                <w:sz w:val="20"/>
                <w:szCs w:val="20"/>
                <w:lang w:bidi="ar"/>
              </w:rPr>
              <w:t xml:space="preserve"> ± 0.59</w:t>
            </w:r>
          </w:p>
        </w:tc>
        <w:tc>
          <w:tcPr>
            <w:tcW w:w="629" w:type="pct"/>
            <w:tcBorders>
              <w:top w:val="nil"/>
              <w:left w:val="nil"/>
              <w:bottom w:val="nil"/>
              <w:right w:val="nil"/>
            </w:tcBorders>
            <w:shd w:val="clear" w:color="auto" w:fill="auto"/>
            <w:noWrap/>
            <w:vAlign w:val="center"/>
          </w:tcPr>
          <w:p w14:paraId="6CAE3CA0">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0.87</w:t>
            </w:r>
            <w:r>
              <w:rPr>
                <w:rFonts w:ascii="Times New Roman" w:hAnsi="Times New Roman" w:eastAsia="宋体" w:cs="Times New Roman"/>
                <w:color w:val="auto"/>
                <w:kern w:val="0"/>
                <w:sz w:val="20"/>
                <w:szCs w:val="20"/>
                <w:vertAlign w:val="superscript"/>
                <w:lang w:bidi="ar"/>
              </w:rPr>
              <w:t>a</w:t>
            </w:r>
            <w:r>
              <w:rPr>
                <w:rFonts w:ascii="Times New Roman" w:hAnsi="Times New Roman" w:eastAsia="宋体" w:cs="Times New Roman"/>
                <w:color w:val="auto"/>
                <w:kern w:val="0"/>
                <w:sz w:val="20"/>
                <w:szCs w:val="20"/>
                <w:lang w:bidi="ar"/>
              </w:rPr>
              <w:t xml:space="preserve"> ± 0.05</w:t>
            </w:r>
          </w:p>
        </w:tc>
        <w:tc>
          <w:tcPr>
            <w:tcW w:w="619" w:type="pct"/>
            <w:tcBorders>
              <w:top w:val="nil"/>
              <w:left w:val="nil"/>
              <w:bottom w:val="nil"/>
              <w:right w:val="nil"/>
            </w:tcBorders>
            <w:shd w:val="clear" w:color="auto" w:fill="auto"/>
            <w:noWrap/>
            <w:vAlign w:val="center"/>
          </w:tcPr>
          <w:p w14:paraId="1A851EA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17.72 ± 1.83</w:t>
            </w:r>
          </w:p>
        </w:tc>
        <w:tc>
          <w:tcPr>
            <w:tcW w:w="569" w:type="pct"/>
            <w:tcBorders>
              <w:top w:val="nil"/>
              <w:left w:val="nil"/>
              <w:bottom w:val="nil"/>
              <w:right w:val="nil"/>
            </w:tcBorders>
            <w:shd w:val="clear" w:color="auto" w:fill="auto"/>
            <w:noWrap/>
            <w:vAlign w:val="center"/>
          </w:tcPr>
          <w:p w14:paraId="7BBB48D1">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0.83 ± 0.09</w:t>
            </w:r>
          </w:p>
        </w:tc>
        <w:tc>
          <w:tcPr>
            <w:tcW w:w="619" w:type="pct"/>
            <w:tcBorders>
              <w:top w:val="nil"/>
              <w:left w:val="nil"/>
              <w:bottom w:val="nil"/>
              <w:right w:val="nil"/>
            </w:tcBorders>
            <w:shd w:val="clear" w:color="auto" w:fill="auto"/>
            <w:noWrap/>
            <w:vAlign w:val="center"/>
          </w:tcPr>
          <w:p w14:paraId="6493EC5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21.60 ± 0.81</w:t>
            </w:r>
          </w:p>
        </w:tc>
      </w:tr>
      <w:tr w14:paraId="081DAA78">
        <w:tblPrEx>
          <w:tblCellMar>
            <w:top w:w="0" w:type="dxa"/>
            <w:left w:w="108" w:type="dxa"/>
            <w:bottom w:w="0" w:type="dxa"/>
            <w:right w:w="108" w:type="dxa"/>
          </w:tblCellMar>
        </w:tblPrEx>
        <w:trPr>
          <w:trHeight w:val="325" w:hRule="atLeast"/>
        </w:trPr>
        <w:tc>
          <w:tcPr>
            <w:tcW w:w="570" w:type="pct"/>
            <w:vMerge w:val="restart"/>
            <w:tcBorders>
              <w:top w:val="nil"/>
              <w:left w:val="nil"/>
              <w:bottom w:val="nil"/>
              <w:right w:val="nil"/>
            </w:tcBorders>
            <w:shd w:val="clear" w:color="auto" w:fill="auto"/>
            <w:noWrap/>
          </w:tcPr>
          <w:p w14:paraId="0311060A">
            <w:pPr>
              <w:spacing w:line="960" w:lineRule="auto"/>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Shrubland</w:t>
            </w:r>
          </w:p>
        </w:tc>
        <w:tc>
          <w:tcPr>
            <w:tcW w:w="621" w:type="pct"/>
            <w:tcBorders>
              <w:top w:val="single" w:color="000000" w:sz="8" w:space="0"/>
              <w:left w:val="nil"/>
              <w:bottom w:val="nil"/>
              <w:right w:val="nil"/>
            </w:tcBorders>
            <w:shd w:val="clear" w:color="auto" w:fill="auto"/>
            <w:noWrap/>
          </w:tcPr>
          <w:p w14:paraId="1A350C79">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EBS</w:t>
            </w:r>
          </w:p>
        </w:tc>
        <w:tc>
          <w:tcPr>
            <w:tcW w:w="718" w:type="pct"/>
            <w:tcBorders>
              <w:top w:val="single" w:color="000000" w:sz="8" w:space="0"/>
              <w:left w:val="nil"/>
              <w:bottom w:val="nil"/>
              <w:right w:val="nil"/>
            </w:tcBorders>
            <w:shd w:val="clear" w:color="auto" w:fill="auto"/>
            <w:noWrap/>
            <w:vAlign w:val="center"/>
          </w:tcPr>
          <w:p w14:paraId="5E69191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136.44 ± 23.19</w:t>
            </w:r>
          </w:p>
        </w:tc>
        <w:tc>
          <w:tcPr>
            <w:tcW w:w="651" w:type="pct"/>
            <w:tcBorders>
              <w:top w:val="single" w:color="000000" w:sz="8" w:space="0"/>
              <w:left w:val="nil"/>
              <w:bottom w:val="nil"/>
              <w:right w:val="nil"/>
            </w:tcBorders>
            <w:shd w:val="clear" w:color="auto" w:fill="auto"/>
            <w:noWrap/>
            <w:vAlign w:val="center"/>
          </w:tcPr>
          <w:p w14:paraId="264F817C">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21.02 ± 1.39</w:t>
            </w:r>
          </w:p>
        </w:tc>
        <w:tc>
          <w:tcPr>
            <w:tcW w:w="629" w:type="pct"/>
            <w:tcBorders>
              <w:top w:val="single" w:color="000000" w:sz="8" w:space="0"/>
              <w:left w:val="nil"/>
              <w:bottom w:val="nil"/>
              <w:right w:val="nil"/>
            </w:tcBorders>
            <w:shd w:val="clear" w:color="auto" w:fill="auto"/>
            <w:noWrap/>
            <w:vAlign w:val="center"/>
          </w:tcPr>
          <w:p w14:paraId="4C63F6C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1.27 ± 0.26</w:t>
            </w:r>
          </w:p>
        </w:tc>
        <w:tc>
          <w:tcPr>
            <w:tcW w:w="619" w:type="pct"/>
            <w:tcBorders>
              <w:top w:val="single" w:color="000000" w:sz="8" w:space="0"/>
              <w:left w:val="nil"/>
              <w:bottom w:val="nil"/>
              <w:right w:val="nil"/>
            </w:tcBorders>
            <w:shd w:val="clear" w:color="auto" w:fill="auto"/>
            <w:noWrap/>
            <w:vAlign w:val="center"/>
          </w:tcPr>
          <w:p w14:paraId="5C30F02D">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15.25 ± 4.01</w:t>
            </w:r>
          </w:p>
        </w:tc>
        <w:tc>
          <w:tcPr>
            <w:tcW w:w="569" w:type="pct"/>
            <w:tcBorders>
              <w:top w:val="single" w:color="000000" w:sz="8" w:space="0"/>
              <w:left w:val="nil"/>
              <w:bottom w:val="nil"/>
              <w:right w:val="nil"/>
            </w:tcBorders>
            <w:shd w:val="clear" w:color="auto" w:fill="auto"/>
            <w:noWrap/>
            <w:vAlign w:val="center"/>
          </w:tcPr>
          <w:p w14:paraId="3CB8826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0.97 ± 0.36</w:t>
            </w:r>
          </w:p>
        </w:tc>
        <w:tc>
          <w:tcPr>
            <w:tcW w:w="619" w:type="pct"/>
            <w:tcBorders>
              <w:top w:val="single" w:color="000000" w:sz="8" w:space="0"/>
              <w:left w:val="nil"/>
              <w:bottom w:val="nil"/>
              <w:right w:val="nil"/>
            </w:tcBorders>
            <w:shd w:val="clear" w:color="auto" w:fill="auto"/>
            <w:noWrap/>
            <w:vAlign w:val="center"/>
          </w:tcPr>
          <w:p w14:paraId="7436DFF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18.45 ± 1.89</w:t>
            </w:r>
          </w:p>
        </w:tc>
      </w:tr>
      <w:tr w14:paraId="21B0A371">
        <w:tblPrEx>
          <w:tblCellMar>
            <w:top w:w="0" w:type="dxa"/>
            <w:left w:w="108" w:type="dxa"/>
            <w:bottom w:w="0" w:type="dxa"/>
            <w:right w:w="108" w:type="dxa"/>
          </w:tblCellMar>
        </w:tblPrEx>
        <w:trPr>
          <w:trHeight w:val="308" w:hRule="atLeast"/>
        </w:trPr>
        <w:tc>
          <w:tcPr>
            <w:tcW w:w="570" w:type="pct"/>
            <w:vMerge w:val="continue"/>
            <w:tcBorders>
              <w:top w:val="nil"/>
              <w:left w:val="nil"/>
              <w:bottom w:val="nil"/>
              <w:right w:val="nil"/>
            </w:tcBorders>
            <w:shd w:val="clear" w:color="auto" w:fill="auto"/>
            <w:noWrap/>
          </w:tcPr>
          <w:p w14:paraId="5053B167">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72D9C068">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ECS</w:t>
            </w:r>
          </w:p>
        </w:tc>
        <w:tc>
          <w:tcPr>
            <w:tcW w:w="718" w:type="pct"/>
            <w:tcBorders>
              <w:top w:val="nil"/>
              <w:left w:val="nil"/>
              <w:bottom w:val="nil"/>
              <w:right w:val="nil"/>
            </w:tcBorders>
            <w:shd w:val="clear" w:color="auto" w:fill="auto"/>
            <w:noWrap/>
            <w:vAlign w:val="center"/>
          </w:tcPr>
          <w:p w14:paraId="2548A070">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127.19 ± 17.83</w:t>
            </w:r>
          </w:p>
        </w:tc>
        <w:tc>
          <w:tcPr>
            <w:tcW w:w="651" w:type="pct"/>
            <w:tcBorders>
              <w:top w:val="nil"/>
              <w:left w:val="nil"/>
              <w:bottom w:val="nil"/>
              <w:right w:val="nil"/>
            </w:tcBorders>
            <w:shd w:val="clear" w:color="auto" w:fill="auto"/>
            <w:noWrap/>
            <w:vAlign w:val="center"/>
          </w:tcPr>
          <w:p w14:paraId="587E23E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19.87 ± 0.78</w:t>
            </w:r>
          </w:p>
        </w:tc>
        <w:tc>
          <w:tcPr>
            <w:tcW w:w="629" w:type="pct"/>
            <w:tcBorders>
              <w:top w:val="nil"/>
              <w:left w:val="nil"/>
              <w:bottom w:val="nil"/>
              <w:right w:val="nil"/>
            </w:tcBorders>
            <w:shd w:val="clear" w:color="auto" w:fill="auto"/>
            <w:noWrap/>
            <w:vAlign w:val="center"/>
          </w:tcPr>
          <w:p w14:paraId="06C7AC7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 ± 0.15</w:t>
            </w:r>
          </w:p>
        </w:tc>
        <w:tc>
          <w:tcPr>
            <w:tcW w:w="619" w:type="pct"/>
            <w:tcBorders>
              <w:top w:val="nil"/>
              <w:left w:val="nil"/>
              <w:bottom w:val="nil"/>
              <w:right w:val="nil"/>
            </w:tcBorders>
            <w:shd w:val="clear" w:color="auto" w:fill="auto"/>
            <w:noWrap/>
            <w:vAlign w:val="center"/>
          </w:tcPr>
          <w:p w14:paraId="4FB8361F">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13.88 ± 4.02</w:t>
            </w:r>
          </w:p>
        </w:tc>
        <w:tc>
          <w:tcPr>
            <w:tcW w:w="569" w:type="pct"/>
            <w:tcBorders>
              <w:top w:val="nil"/>
              <w:left w:val="nil"/>
              <w:bottom w:val="nil"/>
              <w:right w:val="nil"/>
            </w:tcBorders>
            <w:shd w:val="clear" w:color="auto" w:fill="auto"/>
            <w:noWrap/>
            <w:vAlign w:val="center"/>
          </w:tcPr>
          <w:p w14:paraId="62E5446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0.84 ± 0.26</w:t>
            </w:r>
          </w:p>
        </w:tc>
        <w:tc>
          <w:tcPr>
            <w:tcW w:w="619" w:type="pct"/>
            <w:tcBorders>
              <w:top w:val="nil"/>
              <w:left w:val="nil"/>
              <w:bottom w:val="nil"/>
              <w:right w:val="nil"/>
            </w:tcBorders>
            <w:shd w:val="clear" w:color="auto" w:fill="auto"/>
            <w:noWrap/>
            <w:vAlign w:val="center"/>
          </w:tcPr>
          <w:p w14:paraId="73AA996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17.04 ± 2.21</w:t>
            </w:r>
          </w:p>
        </w:tc>
      </w:tr>
      <w:tr w14:paraId="31F9CF3C">
        <w:tblPrEx>
          <w:tblCellMar>
            <w:top w:w="0" w:type="dxa"/>
            <w:left w:w="108" w:type="dxa"/>
            <w:bottom w:w="0" w:type="dxa"/>
            <w:right w:w="108" w:type="dxa"/>
          </w:tblCellMar>
        </w:tblPrEx>
        <w:trPr>
          <w:trHeight w:val="308" w:hRule="atLeast"/>
        </w:trPr>
        <w:tc>
          <w:tcPr>
            <w:tcW w:w="570" w:type="pct"/>
            <w:vMerge w:val="continue"/>
            <w:tcBorders>
              <w:top w:val="nil"/>
              <w:left w:val="nil"/>
              <w:bottom w:val="nil"/>
              <w:right w:val="nil"/>
            </w:tcBorders>
            <w:shd w:val="clear" w:color="auto" w:fill="auto"/>
            <w:noWrap/>
          </w:tcPr>
          <w:p w14:paraId="39198AE8">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0152BD9D">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DBS</w:t>
            </w:r>
          </w:p>
        </w:tc>
        <w:tc>
          <w:tcPr>
            <w:tcW w:w="718" w:type="pct"/>
            <w:tcBorders>
              <w:top w:val="nil"/>
              <w:left w:val="nil"/>
              <w:bottom w:val="nil"/>
              <w:right w:val="nil"/>
            </w:tcBorders>
            <w:shd w:val="clear" w:color="auto" w:fill="auto"/>
            <w:noWrap/>
            <w:vAlign w:val="center"/>
          </w:tcPr>
          <w:p w14:paraId="2F03C530">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100.26 ± 30.28</w:t>
            </w:r>
          </w:p>
        </w:tc>
        <w:tc>
          <w:tcPr>
            <w:tcW w:w="651" w:type="pct"/>
            <w:tcBorders>
              <w:top w:val="nil"/>
              <w:left w:val="nil"/>
              <w:bottom w:val="nil"/>
              <w:right w:val="nil"/>
            </w:tcBorders>
            <w:shd w:val="clear" w:color="auto" w:fill="auto"/>
            <w:noWrap/>
            <w:vAlign w:val="center"/>
          </w:tcPr>
          <w:p w14:paraId="4F1F40E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19.81 ± 3.90</w:t>
            </w:r>
          </w:p>
        </w:tc>
        <w:tc>
          <w:tcPr>
            <w:tcW w:w="629" w:type="pct"/>
            <w:tcBorders>
              <w:top w:val="nil"/>
              <w:left w:val="nil"/>
              <w:bottom w:val="nil"/>
              <w:right w:val="nil"/>
            </w:tcBorders>
            <w:shd w:val="clear" w:color="auto" w:fill="auto"/>
            <w:noWrap/>
            <w:vAlign w:val="center"/>
          </w:tcPr>
          <w:p w14:paraId="3215CB9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2.14 ± 0.59</w:t>
            </w:r>
          </w:p>
        </w:tc>
        <w:tc>
          <w:tcPr>
            <w:tcW w:w="619" w:type="pct"/>
            <w:tcBorders>
              <w:top w:val="nil"/>
              <w:left w:val="nil"/>
              <w:bottom w:val="nil"/>
              <w:right w:val="nil"/>
            </w:tcBorders>
            <w:shd w:val="clear" w:color="auto" w:fill="auto"/>
            <w:noWrap/>
            <w:vAlign w:val="center"/>
          </w:tcPr>
          <w:p w14:paraId="3B777F8C">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9.24 ± 3.46</w:t>
            </w:r>
          </w:p>
        </w:tc>
        <w:tc>
          <w:tcPr>
            <w:tcW w:w="569" w:type="pct"/>
            <w:tcBorders>
              <w:top w:val="nil"/>
              <w:left w:val="nil"/>
              <w:bottom w:val="nil"/>
              <w:right w:val="nil"/>
            </w:tcBorders>
            <w:shd w:val="clear" w:color="auto" w:fill="auto"/>
            <w:noWrap/>
            <w:vAlign w:val="center"/>
          </w:tcPr>
          <w:p w14:paraId="23F82A0B">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0.96 ± 0.46</w:t>
            </w:r>
          </w:p>
        </w:tc>
        <w:tc>
          <w:tcPr>
            <w:tcW w:w="619" w:type="pct"/>
            <w:tcBorders>
              <w:top w:val="nil"/>
              <w:left w:val="nil"/>
              <w:bottom w:val="nil"/>
              <w:right w:val="nil"/>
            </w:tcBorders>
            <w:shd w:val="clear" w:color="auto" w:fill="auto"/>
            <w:noWrap/>
            <w:vAlign w:val="center"/>
          </w:tcPr>
          <w:p w14:paraId="43B8E078">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12.63 ± 5.71</w:t>
            </w:r>
          </w:p>
        </w:tc>
      </w:tr>
      <w:tr w14:paraId="04C7B06C">
        <w:tblPrEx>
          <w:tblCellMar>
            <w:top w:w="0" w:type="dxa"/>
            <w:left w:w="108" w:type="dxa"/>
            <w:bottom w:w="0" w:type="dxa"/>
            <w:right w:w="108" w:type="dxa"/>
          </w:tblCellMar>
        </w:tblPrEx>
        <w:trPr>
          <w:trHeight w:val="375" w:hRule="atLeast"/>
        </w:trPr>
        <w:tc>
          <w:tcPr>
            <w:tcW w:w="570" w:type="pct"/>
            <w:vMerge w:val="continue"/>
            <w:tcBorders>
              <w:top w:val="nil"/>
              <w:left w:val="nil"/>
              <w:bottom w:val="nil"/>
              <w:right w:val="nil"/>
            </w:tcBorders>
            <w:shd w:val="clear" w:color="auto" w:fill="auto"/>
            <w:noWrap/>
          </w:tcPr>
          <w:p w14:paraId="169E096D">
            <w:pPr>
              <w:jc w:val="center"/>
              <w:rPr>
                <w:rFonts w:ascii="Times New Roman" w:hAnsi="Times New Roman" w:eastAsia="宋体" w:cs="Times New Roman"/>
                <w:b/>
                <w:bCs/>
                <w:color w:val="auto"/>
                <w:sz w:val="20"/>
                <w:szCs w:val="20"/>
              </w:rPr>
            </w:pPr>
          </w:p>
        </w:tc>
        <w:tc>
          <w:tcPr>
            <w:tcW w:w="621" w:type="pct"/>
            <w:tcBorders>
              <w:top w:val="nil"/>
              <w:left w:val="nil"/>
              <w:bottom w:val="single" w:color="000000" w:sz="8" w:space="0"/>
              <w:right w:val="nil"/>
            </w:tcBorders>
            <w:shd w:val="clear" w:color="auto" w:fill="auto"/>
            <w:noWrap/>
          </w:tcPr>
          <w:p w14:paraId="0F372DCA">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Total</w:t>
            </w:r>
          </w:p>
        </w:tc>
        <w:tc>
          <w:tcPr>
            <w:tcW w:w="718" w:type="pct"/>
            <w:tcBorders>
              <w:top w:val="nil"/>
              <w:left w:val="nil"/>
              <w:bottom w:val="single" w:color="000000" w:sz="8" w:space="0"/>
              <w:right w:val="nil"/>
            </w:tcBorders>
            <w:shd w:val="clear" w:color="auto" w:fill="auto"/>
            <w:noWrap/>
            <w:vAlign w:val="center"/>
          </w:tcPr>
          <w:p w14:paraId="14342D30">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121.30 ± 16.32</w:t>
            </w:r>
          </w:p>
        </w:tc>
        <w:tc>
          <w:tcPr>
            <w:tcW w:w="651" w:type="pct"/>
            <w:tcBorders>
              <w:top w:val="nil"/>
              <w:left w:val="nil"/>
              <w:bottom w:val="single" w:color="000000" w:sz="8" w:space="0"/>
              <w:right w:val="nil"/>
            </w:tcBorders>
            <w:shd w:val="clear" w:color="auto" w:fill="auto"/>
            <w:noWrap/>
            <w:vAlign w:val="center"/>
          </w:tcPr>
          <w:p w14:paraId="65587977">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20.23</w:t>
            </w:r>
            <w:r>
              <w:rPr>
                <w:rFonts w:ascii="Times New Roman" w:hAnsi="Times New Roman" w:eastAsia="宋体" w:cs="Times New Roman"/>
                <w:color w:val="auto"/>
                <w:kern w:val="0"/>
                <w:sz w:val="20"/>
                <w:szCs w:val="20"/>
                <w:vertAlign w:val="superscript"/>
                <w:lang w:bidi="ar"/>
              </w:rPr>
              <w:t>b</w:t>
            </w:r>
            <w:r>
              <w:rPr>
                <w:rFonts w:ascii="Times New Roman" w:hAnsi="Times New Roman" w:eastAsia="宋体" w:cs="Times New Roman"/>
                <w:color w:val="auto"/>
                <w:kern w:val="0"/>
                <w:sz w:val="20"/>
                <w:szCs w:val="20"/>
                <w:lang w:bidi="ar"/>
              </w:rPr>
              <w:t xml:space="preserve"> ± 1.05</w:t>
            </w:r>
          </w:p>
        </w:tc>
        <w:tc>
          <w:tcPr>
            <w:tcW w:w="629" w:type="pct"/>
            <w:tcBorders>
              <w:top w:val="nil"/>
              <w:left w:val="nil"/>
              <w:bottom w:val="single" w:color="000000" w:sz="8" w:space="0"/>
              <w:right w:val="nil"/>
            </w:tcBorders>
            <w:shd w:val="clear" w:color="auto" w:fill="auto"/>
            <w:noWrap/>
            <w:vAlign w:val="center"/>
          </w:tcPr>
          <w:p w14:paraId="2855941E">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1.57</w:t>
            </w:r>
            <w:r>
              <w:rPr>
                <w:rFonts w:ascii="Times New Roman" w:hAnsi="Times New Roman" w:eastAsia="宋体" w:cs="Times New Roman"/>
                <w:color w:val="auto"/>
                <w:kern w:val="0"/>
                <w:sz w:val="20"/>
                <w:szCs w:val="20"/>
                <w:vertAlign w:val="superscript"/>
                <w:lang w:bidi="ar"/>
              </w:rPr>
              <w:t>c</w:t>
            </w:r>
            <w:r>
              <w:rPr>
                <w:rFonts w:ascii="Times New Roman" w:hAnsi="Times New Roman" w:eastAsia="宋体" w:cs="Times New Roman"/>
                <w:color w:val="auto"/>
                <w:kern w:val="0"/>
                <w:sz w:val="20"/>
                <w:szCs w:val="20"/>
                <w:lang w:bidi="ar"/>
              </w:rPr>
              <w:t xml:space="preserve"> ± 0.13</w:t>
            </w:r>
          </w:p>
        </w:tc>
        <w:tc>
          <w:tcPr>
            <w:tcW w:w="619" w:type="pct"/>
            <w:tcBorders>
              <w:top w:val="nil"/>
              <w:left w:val="nil"/>
              <w:bottom w:val="single" w:color="000000" w:sz="8" w:space="0"/>
              <w:right w:val="nil"/>
            </w:tcBorders>
            <w:shd w:val="clear" w:color="auto" w:fill="auto"/>
            <w:noWrap/>
            <w:vAlign w:val="center"/>
          </w:tcPr>
          <w:p w14:paraId="3B79AB5F">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12.79 ± 3.03</w:t>
            </w:r>
          </w:p>
        </w:tc>
        <w:tc>
          <w:tcPr>
            <w:tcW w:w="569" w:type="pct"/>
            <w:tcBorders>
              <w:top w:val="nil"/>
              <w:left w:val="nil"/>
              <w:bottom w:val="single" w:color="000000" w:sz="8" w:space="0"/>
              <w:right w:val="nil"/>
            </w:tcBorders>
            <w:shd w:val="clear" w:color="auto" w:fill="auto"/>
            <w:noWrap/>
            <w:vAlign w:val="center"/>
          </w:tcPr>
          <w:p w14:paraId="4A352983">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0.92 ± 0.15</w:t>
            </w:r>
          </w:p>
        </w:tc>
        <w:tc>
          <w:tcPr>
            <w:tcW w:w="619" w:type="pct"/>
            <w:tcBorders>
              <w:top w:val="nil"/>
              <w:left w:val="nil"/>
              <w:bottom w:val="single" w:color="000000" w:sz="8" w:space="0"/>
              <w:right w:val="nil"/>
            </w:tcBorders>
            <w:shd w:val="clear" w:color="auto" w:fill="auto"/>
            <w:noWrap/>
            <w:vAlign w:val="center"/>
          </w:tcPr>
          <w:p w14:paraId="14FB079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16.04 ± 1.83</w:t>
            </w:r>
          </w:p>
        </w:tc>
      </w:tr>
      <w:tr w14:paraId="2976A213">
        <w:tblPrEx>
          <w:tblCellMar>
            <w:top w:w="0" w:type="dxa"/>
            <w:left w:w="108" w:type="dxa"/>
            <w:bottom w:w="0" w:type="dxa"/>
            <w:right w:w="108" w:type="dxa"/>
          </w:tblCellMar>
        </w:tblPrEx>
        <w:trPr>
          <w:trHeight w:val="308" w:hRule="atLeast"/>
        </w:trPr>
        <w:tc>
          <w:tcPr>
            <w:tcW w:w="570" w:type="pct"/>
            <w:vMerge w:val="restart"/>
            <w:tcBorders>
              <w:top w:val="nil"/>
              <w:left w:val="nil"/>
              <w:bottom w:val="nil"/>
              <w:right w:val="nil"/>
            </w:tcBorders>
            <w:shd w:val="clear" w:color="auto" w:fill="auto"/>
            <w:noWrap/>
          </w:tcPr>
          <w:p w14:paraId="29E2E8B0">
            <w:pPr>
              <w:spacing w:line="960" w:lineRule="auto"/>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Grassland</w:t>
            </w:r>
          </w:p>
        </w:tc>
        <w:tc>
          <w:tcPr>
            <w:tcW w:w="621" w:type="pct"/>
            <w:tcBorders>
              <w:top w:val="nil"/>
              <w:left w:val="nil"/>
              <w:bottom w:val="nil"/>
              <w:right w:val="nil"/>
            </w:tcBorders>
            <w:shd w:val="clear" w:color="auto" w:fill="auto"/>
            <w:noWrap/>
          </w:tcPr>
          <w:p w14:paraId="4632F3BC">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AMG</w:t>
            </w:r>
          </w:p>
        </w:tc>
        <w:tc>
          <w:tcPr>
            <w:tcW w:w="718" w:type="pct"/>
            <w:tcBorders>
              <w:top w:val="nil"/>
              <w:left w:val="nil"/>
              <w:bottom w:val="nil"/>
              <w:right w:val="nil"/>
            </w:tcBorders>
            <w:shd w:val="clear" w:color="auto" w:fill="auto"/>
            <w:noWrap/>
            <w:vAlign w:val="center"/>
          </w:tcPr>
          <w:p w14:paraId="4E06AD3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83.23 ± 2.98</w:t>
            </w:r>
          </w:p>
        </w:tc>
        <w:tc>
          <w:tcPr>
            <w:tcW w:w="651" w:type="pct"/>
            <w:tcBorders>
              <w:top w:val="nil"/>
              <w:left w:val="nil"/>
              <w:bottom w:val="nil"/>
              <w:right w:val="nil"/>
            </w:tcBorders>
            <w:shd w:val="clear" w:color="auto" w:fill="auto"/>
            <w:noWrap/>
            <w:vAlign w:val="center"/>
          </w:tcPr>
          <w:p w14:paraId="2A03D70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14.49 ± 0.21</w:t>
            </w:r>
          </w:p>
        </w:tc>
        <w:tc>
          <w:tcPr>
            <w:tcW w:w="629" w:type="pct"/>
            <w:tcBorders>
              <w:top w:val="nil"/>
              <w:left w:val="nil"/>
              <w:bottom w:val="nil"/>
              <w:right w:val="nil"/>
            </w:tcBorders>
            <w:shd w:val="clear" w:color="auto" w:fill="auto"/>
            <w:noWrap/>
            <w:vAlign w:val="center"/>
          </w:tcPr>
          <w:p w14:paraId="588C4DA4">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1.63 ± 0.04</w:t>
            </w:r>
          </w:p>
        </w:tc>
        <w:tc>
          <w:tcPr>
            <w:tcW w:w="619" w:type="pct"/>
            <w:tcBorders>
              <w:top w:val="nil"/>
              <w:left w:val="nil"/>
              <w:bottom w:val="nil"/>
              <w:right w:val="nil"/>
            </w:tcBorders>
            <w:shd w:val="clear" w:color="auto" w:fill="auto"/>
            <w:noWrap/>
            <w:vAlign w:val="center"/>
          </w:tcPr>
          <w:p w14:paraId="07C80241">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0.65 ± 0.2</w:t>
            </w:r>
          </w:p>
        </w:tc>
        <w:tc>
          <w:tcPr>
            <w:tcW w:w="569" w:type="pct"/>
            <w:tcBorders>
              <w:top w:val="nil"/>
              <w:left w:val="nil"/>
              <w:bottom w:val="nil"/>
              <w:right w:val="nil"/>
            </w:tcBorders>
            <w:shd w:val="clear" w:color="auto" w:fill="auto"/>
            <w:noWrap/>
            <w:vAlign w:val="center"/>
          </w:tcPr>
          <w:p w14:paraId="089655A2">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0.10 ± 0.03</w:t>
            </w:r>
          </w:p>
        </w:tc>
        <w:tc>
          <w:tcPr>
            <w:tcW w:w="619" w:type="pct"/>
            <w:tcBorders>
              <w:top w:val="nil"/>
              <w:left w:val="nil"/>
              <w:bottom w:val="nil"/>
              <w:right w:val="nil"/>
            </w:tcBorders>
            <w:shd w:val="clear" w:color="auto" w:fill="auto"/>
            <w:noWrap/>
            <w:vAlign w:val="center"/>
          </w:tcPr>
          <w:p w14:paraId="3047CFED">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13.15 ± 0.35</w:t>
            </w:r>
          </w:p>
        </w:tc>
      </w:tr>
      <w:tr w14:paraId="38E379CC">
        <w:tblPrEx>
          <w:tblCellMar>
            <w:top w:w="0" w:type="dxa"/>
            <w:left w:w="108" w:type="dxa"/>
            <w:bottom w:w="0" w:type="dxa"/>
            <w:right w:w="108" w:type="dxa"/>
          </w:tblCellMar>
        </w:tblPrEx>
        <w:trPr>
          <w:trHeight w:val="308" w:hRule="atLeast"/>
        </w:trPr>
        <w:tc>
          <w:tcPr>
            <w:tcW w:w="570" w:type="pct"/>
            <w:vMerge w:val="continue"/>
            <w:tcBorders>
              <w:top w:val="nil"/>
              <w:left w:val="nil"/>
              <w:bottom w:val="nil"/>
              <w:right w:val="nil"/>
            </w:tcBorders>
            <w:shd w:val="clear" w:color="auto" w:fill="auto"/>
            <w:noWrap/>
          </w:tcPr>
          <w:p w14:paraId="1C18A33A">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53AFE24F">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ATG</w:t>
            </w:r>
          </w:p>
        </w:tc>
        <w:tc>
          <w:tcPr>
            <w:tcW w:w="718" w:type="pct"/>
            <w:tcBorders>
              <w:top w:val="nil"/>
              <w:left w:val="nil"/>
              <w:bottom w:val="nil"/>
              <w:right w:val="nil"/>
            </w:tcBorders>
            <w:shd w:val="clear" w:color="auto" w:fill="auto"/>
            <w:noWrap/>
            <w:vAlign w:val="center"/>
          </w:tcPr>
          <w:p w14:paraId="0B92B7A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41.76 ± 2.93</w:t>
            </w:r>
          </w:p>
        </w:tc>
        <w:tc>
          <w:tcPr>
            <w:tcW w:w="651" w:type="pct"/>
            <w:tcBorders>
              <w:top w:val="nil"/>
              <w:left w:val="nil"/>
              <w:bottom w:val="nil"/>
              <w:right w:val="nil"/>
            </w:tcBorders>
            <w:shd w:val="clear" w:color="auto" w:fill="auto"/>
            <w:noWrap/>
            <w:vAlign w:val="center"/>
          </w:tcPr>
          <w:p w14:paraId="63ED88D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13.99 ± 0.28</w:t>
            </w:r>
          </w:p>
        </w:tc>
        <w:tc>
          <w:tcPr>
            <w:tcW w:w="629" w:type="pct"/>
            <w:tcBorders>
              <w:top w:val="nil"/>
              <w:left w:val="nil"/>
              <w:bottom w:val="nil"/>
              <w:right w:val="nil"/>
            </w:tcBorders>
            <w:shd w:val="clear" w:color="auto" w:fill="auto"/>
            <w:noWrap/>
            <w:vAlign w:val="center"/>
          </w:tcPr>
          <w:p w14:paraId="7AF9D392">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1.54 ± 0.05</w:t>
            </w:r>
          </w:p>
        </w:tc>
        <w:tc>
          <w:tcPr>
            <w:tcW w:w="619" w:type="pct"/>
            <w:tcBorders>
              <w:top w:val="nil"/>
              <w:left w:val="nil"/>
              <w:bottom w:val="nil"/>
              <w:right w:val="nil"/>
            </w:tcBorders>
            <w:shd w:val="clear" w:color="auto" w:fill="auto"/>
            <w:noWrap/>
            <w:vAlign w:val="center"/>
          </w:tcPr>
          <w:p w14:paraId="56E9D574">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0.02 ± 0</w:t>
            </w:r>
          </w:p>
        </w:tc>
        <w:tc>
          <w:tcPr>
            <w:tcW w:w="569" w:type="pct"/>
            <w:tcBorders>
              <w:top w:val="nil"/>
              <w:left w:val="nil"/>
              <w:bottom w:val="nil"/>
              <w:right w:val="nil"/>
            </w:tcBorders>
            <w:shd w:val="clear" w:color="auto" w:fill="auto"/>
            <w:noWrap/>
            <w:vAlign w:val="center"/>
          </w:tcPr>
          <w:p w14:paraId="1FC8ABA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0.02 ± 0.01</w:t>
            </w:r>
          </w:p>
        </w:tc>
        <w:tc>
          <w:tcPr>
            <w:tcW w:w="619" w:type="pct"/>
            <w:tcBorders>
              <w:top w:val="nil"/>
              <w:left w:val="nil"/>
              <w:bottom w:val="nil"/>
              <w:right w:val="nil"/>
            </w:tcBorders>
            <w:shd w:val="clear" w:color="auto" w:fill="auto"/>
            <w:noWrap/>
            <w:vAlign w:val="center"/>
          </w:tcPr>
          <w:p w14:paraId="3D9BC34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13.26 ± 0.38</w:t>
            </w:r>
          </w:p>
        </w:tc>
      </w:tr>
      <w:tr w14:paraId="7170E29A">
        <w:tblPrEx>
          <w:tblCellMar>
            <w:top w:w="0" w:type="dxa"/>
            <w:left w:w="108" w:type="dxa"/>
            <w:bottom w:w="0" w:type="dxa"/>
            <w:right w:w="108" w:type="dxa"/>
          </w:tblCellMar>
        </w:tblPrEx>
        <w:trPr>
          <w:trHeight w:val="306" w:hRule="atLeast"/>
        </w:trPr>
        <w:tc>
          <w:tcPr>
            <w:tcW w:w="570" w:type="pct"/>
            <w:vMerge w:val="continue"/>
            <w:tcBorders>
              <w:top w:val="nil"/>
              <w:left w:val="nil"/>
              <w:bottom w:val="nil"/>
              <w:right w:val="nil"/>
            </w:tcBorders>
            <w:shd w:val="clear" w:color="auto" w:fill="auto"/>
            <w:noWrap/>
          </w:tcPr>
          <w:p w14:paraId="784AFDBE">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1FDC2358">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ADG</w:t>
            </w:r>
          </w:p>
        </w:tc>
        <w:tc>
          <w:tcPr>
            <w:tcW w:w="718" w:type="pct"/>
            <w:tcBorders>
              <w:top w:val="nil"/>
              <w:left w:val="nil"/>
              <w:bottom w:val="nil"/>
              <w:right w:val="nil"/>
            </w:tcBorders>
            <w:shd w:val="clear" w:color="auto" w:fill="auto"/>
            <w:noWrap/>
            <w:vAlign w:val="center"/>
          </w:tcPr>
          <w:p w14:paraId="6450295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30.95 ± 11.57</w:t>
            </w:r>
          </w:p>
        </w:tc>
        <w:tc>
          <w:tcPr>
            <w:tcW w:w="651" w:type="pct"/>
            <w:tcBorders>
              <w:top w:val="nil"/>
              <w:left w:val="nil"/>
              <w:bottom w:val="nil"/>
              <w:right w:val="nil"/>
            </w:tcBorders>
            <w:shd w:val="clear" w:color="auto" w:fill="auto"/>
            <w:noWrap/>
            <w:vAlign w:val="center"/>
          </w:tcPr>
          <w:p w14:paraId="7CB4232D">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11.2 ± 0.83</w:t>
            </w:r>
          </w:p>
        </w:tc>
        <w:tc>
          <w:tcPr>
            <w:tcW w:w="629" w:type="pct"/>
            <w:tcBorders>
              <w:top w:val="nil"/>
              <w:left w:val="nil"/>
              <w:bottom w:val="nil"/>
              <w:right w:val="nil"/>
            </w:tcBorders>
            <w:shd w:val="clear" w:color="auto" w:fill="auto"/>
            <w:noWrap/>
            <w:vAlign w:val="center"/>
          </w:tcPr>
          <w:p w14:paraId="60248A43">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1.08 ± 0.31</w:t>
            </w:r>
          </w:p>
        </w:tc>
        <w:tc>
          <w:tcPr>
            <w:tcW w:w="619" w:type="pct"/>
            <w:tcBorders>
              <w:top w:val="nil"/>
              <w:left w:val="nil"/>
              <w:bottom w:val="nil"/>
              <w:right w:val="nil"/>
            </w:tcBorders>
            <w:shd w:val="clear" w:color="auto" w:fill="auto"/>
            <w:noWrap/>
            <w:vAlign w:val="center"/>
          </w:tcPr>
          <w:p w14:paraId="6CCFECFF">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0.003 ± 0</w:t>
            </w:r>
          </w:p>
        </w:tc>
        <w:tc>
          <w:tcPr>
            <w:tcW w:w="569" w:type="pct"/>
            <w:tcBorders>
              <w:top w:val="nil"/>
              <w:left w:val="nil"/>
              <w:bottom w:val="nil"/>
              <w:right w:val="nil"/>
            </w:tcBorders>
            <w:shd w:val="clear" w:color="auto" w:fill="auto"/>
            <w:noWrap/>
            <w:vAlign w:val="center"/>
          </w:tcPr>
          <w:p w14:paraId="77250661">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0.11 ± 0.07</w:t>
            </w:r>
          </w:p>
        </w:tc>
        <w:tc>
          <w:tcPr>
            <w:tcW w:w="619" w:type="pct"/>
            <w:tcBorders>
              <w:top w:val="nil"/>
              <w:left w:val="nil"/>
              <w:bottom w:val="nil"/>
              <w:right w:val="nil"/>
            </w:tcBorders>
            <w:shd w:val="clear" w:color="auto" w:fill="auto"/>
            <w:noWrap/>
            <w:vAlign w:val="center"/>
          </w:tcPr>
          <w:p w14:paraId="1FBA4F11">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16.63 ± 2.82</w:t>
            </w:r>
          </w:p>
        </w:tc>
      </w:tr>
      <w:tr w14:paraId="4AAE64B2">
        <w:tblPrEx>
          <w:tblCellMar>
            <w:top w:w="0" w:type="dxa"/>
            <w:left w:w="108" w:type="dxa"/>
            <w:bottom w:w="0" w:type="dxa"/>
            <w:right w:w="108" w:type="dxa"/>
          </w:tblCellMar>
        </w:tblPrEx>
        <w:trPr>
          <w:trHeight w:val="371" w:hRule="atLeast"/>
        </w:trPr>
        <w:tc>
          <w:tcPr>
            <w:tcW w:w="570" w:type="pct"/>
            <w:vMerge w:val="continue"/>
            <w:tcBorders>
              <w:top w:val="nil"/>
              <w:left w:val="nil"/>
              <w:bottom w:val="nil"/>
              <w:right w:val="nil"/>
            </w:tcBorders>
            <w:shd w:val="clear" w:color="auto" w:fill="auto"/>
            <w:noWrap/>
          </w:tcPr>
          <w:p w14:paraId="5F74BBA3">
            <w:pPr>
              <w:jc w:val="center"/>
              <w:rPr>
                <w:rFonts w:ascii="Times New Roman" w:hAnsi="Times New Roman" w:eastAsia="宋体" w:cs="Times New Roman"/>
                <w:b/>
                <w:bCs/>
                <w:color w:val="auto"/>
                <w:sz w:val="20"/>
                <w:szCs w:val="20"/>
              </w:rPr>
            </w:pPr>
          </w:p>
        </w:tc>
        <w:tc>
          <w:tcPr>
            <w:tcW w:w="621" w:type="pct"/>
            <w:tcBorders>
              <w:top w:val="nil"/>
              <w:left w:val="nil"/>
              <w:bottom w:val="nil"/>
              <w:right w:val="nil"/>
            </w:tcBorders>
            <w:shd w:val="clear" w:color="auto" w:fill="auto"/>
            <w:noWrap/>
          </w:tcPr>
          <w:p w14:paraId="495EE284">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Total</w:t>
            </w:r>
          </w:p>
        </w:tc>
        <w:tc>
          <w:tcPr>
            <w:tcW w:w="718" w:type="pct"/>
            <w:tcBorders>
              <w:top w:val="nil"/>
              <w:left w:val="nil"/>
              <w:bottom w:val="nil"/>
              <w:right w:val="nil"/>
            </w:tcBorders>
            <w:shd w:val="clear" w:color="auto" w:fill="auto"/>
            <w:noWrap/>
            <w:vAlign w:val="center"/>
          </w:tcPr>
          <w:p w14:paraId="1FD536C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51.98 ± 3.31</w:t>
            </w:r>
          </w:p>
        </w:tc>
        <w:tc>
          <w:tcPr>
            <w:tcW w:w="651" w:type="pct"/>
            <w:tcBorders>
              <w:top w:val="nil"/>
              <w:left w:val="nil"/>
              <w:bottom w:val="nil"/>
              <w:right w:val="nil"/>
            </w:tcBorders>
            <w:shd w:val="clear" w:color="auto" w:fill="auto"/>
            <w:noWrap/>
            <w:vAlign w:val="center"/>
          </w:tcPr>
          <w:p w14:paraId="7D8B1F73">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13.23</w:t>
            </w:r>
            <w:r>
              <w:rPr>
                <w:rFonts w:ascii="Times New Roman" w:hAnsi="Times New Roman" w:eastAsia="宋体" w:cs="Times New Roman"/>
                <w:color w:val="auto"/>
                <w:kern w:val="0"/>
                <w:sz w:val="20"/>
                <w:szCs w:val="20"/>
                <w:vertAlign w:val="superscript"/>
                <w:lang w:bidi="ar"/>
              </w:rPr>
              <w:t>a</w:t>
            </w:r>
            <w:r>
              <w:rPr>
                <w:rFonts w:ascii="Times New Roman" w:hAnsi="Times New Roman" w:eastAsia="宋体" w:cs="Times New Roman"/>
                <w:color w:val="auto"/>
                <w:kern w:val="0"/>
                <w:sz w:val="20"/>
                <w:szCs w:val="20"/>
                <w:lang w:bidi="ar"/>
              </w:rPr>
              <w:t xml:space="preserve"> ± 0.19</w:t>
            </w:r>
          </w:p>
        </w:tc>
        <w:tc>
          <w:tcPr>
            <w:tcW w:w="629" w:type="pct"/>
            <w:tcBorders>
              <w:top w:val="nil"/>
              <w:left w:val="nil"/>
              <w:bottom w:val="nil"/>
              <w:right w:val="nil"/>
            </w:tcBorders>
            <w:shd w:val="clear" w:color="auto" w:fill="auto"/>
            <w:noWrap/>
            <w:vAlign w:val="center"/>
          </w:tcPr>
          <w:p w14:paraId="6C896CA2">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1.42</w:t>
            </w:r>
            <w:r>
              <w:rPr>
                <w:rFonts w:ascii="Times New Roman" w:hAnsi="Times New Roman" w:eastAsia="宋体" w:cs="Times New Roman"/>
                <w:color w:val="auto"/>
                <w:kern w:val="0"/>
                <w:sz w:val="20"/>
                <w:szCs w:val="20"/>
                <w:vertAlign w:val="superscript"/>
                <w:lang w:bidi="ar"/>
              </w:rPr>
              <w:t>bc</w:t>
            </w:r>
            <w:r>
              <w:rPr>
                <w:rFonts w:ascii="Times New Roman" w:hAnsi="Times New Roman" w:eastAsia="宋体" w:cs="Times New Roman"/>
                <w:color w:val="auto"/>
                <w:kern w:val="0"/>
                <w:sz w:val="20"/>
                <w:szCs w:val="20"/>
                <w:lang w:bidi="ar"/>
              </w:rPr>
              <w:t xml:space="preserve"> ± 0.03</w:t>
            </w:r>
          </w:p>
        </w:tc>
        <w:tc>
          <w:tcPr>
            <w:tcW w:w="619" w:type="pct"/>
            <w:tcBorders>
              <w:top w:val="nil"/>
              <w:left w:val="nil"/>
              <w:bottom w:val="nil"/>
              <w:right w:val="nil"/>
            </w:tcBorders>
            <w:shd w:val="clear" w:color="auto" w:fill="auto"/>
            <w:noWrap/>
            <w:vAlign w:val="center"/>
          </w:tcPr>
          <w:p w14:paraId="18E890C7">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0.22 ± 0.29</w:t>
            </w:r>
          </w:p>
        </w:tc>
        <w:tc>
          <w:tcPr>
            <w:tcW w:w="569" w:type="pct"/>
            <w:tcBorders>
              <w:top w:val="nil"/>
              <w:left w:val="nil"/>
              <w:bottom w:val="nil"/>
              <w:right w:val="nil"/>
            </w:tcBorders>
            <w:shd w:val="clear" w:color="auto" w:fill="auto"/>
            <w:noWrap/>
            <w:vAlign w:val="center"/>
          </w:tcPr>
          <w:p w14:paraId="50DC63F1">
            <w:pPr>
              <w:jc w:val="center"/>
              <w:textAlignment w:val="center"/>
              <w:rPr>
                <w:rFonts w:ascii="Times New Roman" w:hAnsi="Times New Roman" w:eastAsia="宋体" w:cs="Times New Roman"/>
                <w:color w:val="auto"/>
                <w:sz w:val="20"/>
                <w:szCs w:val="20"/>
                <w:highlight w:val="yellow"/>
              </w:rPr>
            </w:pPr>
            <w:r>
              <w:rPr>
                <w:rFonts w:ascii="Times New Roman" w:hAnsi="Times New Roman" w:eastAsia="宋体" w:cs="Times New Roman"/>
                <w:color w:val="auto"/>
                <w:kern w:val="0"/>
                <w:sz w:val="20"/>
                <w:szCs w:val="20"/>
                <w:lang w:bidi="ar"/>
              </w:rPr>
              <w:t>0.08 ± 0.02</w:t>
            </w:r>
          </w:p>
        </w:tc>
        <w:tc>
          <w:tcPr>
            <w:tcW w:w="619" w:type="pct"/>
            <w:tcBorders>
              <w:top w:val="nil"/>
              <w:left w:val="nil"/>
              <w:bottom w:val="nil"/>
              <w:right w:val="nil"/>
            </w:tcBorders>
            <w:shd w:val="clear" w:color="auto" w:fill="auto"/>
            <w:noWrap/>
            <w:vAlign w:val="center"/>
          </w:tcPr>
          <w:p w14:paraId="0EE081A8">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14.35 ± 0.27</w:t>
            </w:r>
          </w:p>
        </w:tc>
      </w:tr>
      <w:tr w14:paraId="46A35129">
        <w:tblPrEx>
          <w:tblCellMar>
            <w:top w:w="0" w:type="dxa"/>
            <w:left w:w="108" w:type="dxa"/>
            <w:bottom w:w="0" w:type="dxa"/>
            <w:right w:w="108" w:type="dxa"/>
          </w:tblCellMar>
        </w:tblPrEx>
        <w:trPr>
          <w:trHeight w:val="389" w:hRule="atLeast"/>
        </w:trPr>
        <w:tc>
          <w:tcPr>
            <w:tcW w:w="570" w:type="pct"/>
            <w:tcBorders>
              <w:top w:val="nil"/>
              <w:left w:val="nil"/>
              <w:bottom w:val="nil"/>
              <w:right w:val="nil"/>
            </w:tcBorders>
            <w:shd w:val="clear" w:color="auto" w:fill="auto"/>
            <w:noWrap/>
          </w:tcPr>
          <w:p w14:paraId="2764082A">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Desert</w:t>
            </w:r>
          </w:p>
        </w:tc>
        <w:tc>
          <w:tcPr>
            <w:tcW w:w="621" w:type="pct"/>
            <w:tcBorders>
              <w:top w:val="single" w:color="000000" w:sz="8" w:space="0"/>
              <w:left w:val="nil"/>
              <w:bottom w:val="single" w:color="000000" w:sz="8" w:space="0"/>
              <w:right w:val="nil"/>
            </w:tcBorders>
            <w:shd w:val="clear" w:color="auto" w:fill="auto"/>
            <w:noWrap/>
          </w:tcPr>
          <w:p w14:paraId="17576754">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Desert</w:t>
            </w:r>
          </w:p>
        </w:tc>
        <w:tc>
          <w:tcPr>
            <w:tcW w:w="718" w:type="pct"/>
            <w:tcBorders>
              <w:top w:val="single" w:color="000000" w:sz="8" w:space="0"/>
              <w:left w:val="nil"/>
              <w:bottom w:val="single" w:color="000000" w:sz="8" w:space="0"/>
              <w:right w:val="nil"/>
            </w:tcBorders>
            <w:shd w:val="clear" w:color="auto" w:fill="auto"/>
            <w:noWrap/>
            <w:vAlign w:val="center"/>
          </w:tcPr>
          <w:p w14:paraId="0A379A32">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48.04 ± 5.97</w:t>
            </w:r>
          </w:p>
        </w:tc>
        <w:tc>
          <w:tcPr>
            <w:tcW w:w="651" w:type="pct"/>
            <w:tcBorders>
              <w:top w:val="single" w:color="000000" w:sz="8" w:space="0"/>
              <w:left w:val="nil"/>
              <w:bottom w:val="single" w:color="000000" w:sz="8" w:space="0"/>
              <w:right w:val="nil"/>
            </w:tcBorders>
            <w:shd w:val="clear" w:color="auto" w:fill="auto"/>
            <w:noWrap/>
            <w:vAlign w:val="center"/>
          </w:tcPr>
          <w:p w14:paraId="6E602CDF">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14.74</w:t>
            </w:r>
            <w:r>
              <w:rPr>
                <w:rFonts w:ascii="Times New Roman" w:hAnsi="Times New Roman" w:eastAsia="宋体" w:cs="Times New Roman"/>
                <w:color w:val="auto"/>
                <w:kern w:val="0"/>
                <w:sz w:val="20"/>
                <w:szCs w:val="20"/>
                <w:vertAlign w:val="superscript"/>
                <w:lang w:bidi="ar"/>
              </w:rPr>
              <w:t>a</w:t>
            </w:r>
            <w:r>
              <w:rPr>
                <w:rFonts w:ascii="Times New Roman" w:hAnsi="Times New Roman" w:eastAsia="宋体" w:cs="Times New Roman"/>
                <w:color w:val="auto"/>
                <w:kern w:val="0"/>
                <w:sz w:val="20"/>
                <w:szCs w:val="20"/>
                <w:lang w:bidi="ar"/>
              </w:rPr>
              <w:t xml:space="preserve"> ± 1.28</w:t>
            </w:r>
          </w:p>
        </w:tc>
        <w:tc>
          <w:tcPr>
            <w:tcW w:w="629" w:type="pct"/>
            <w:tcBorders>
              <w:top w:val="single" w:color="000000" w:sz="8" w:space="0"/>
              <w:left w:val="nil"/>
              <w:bottom w:val="single" w:color="000000" w:sz="8" w:space="0"/>
              <w:right w:val="nil"/>
            </w:tcBorders>
            <w:shd w:val="clear" w:color="auto" w:fill="auto"/>
            <w:noWrap/>
            <w:vAlign w:val="center"/>
          </w:tcPr>
          <w:p w14:paraId="45D5605A">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1.15</w:t>
            </w:r>
            <w:r>
              <w:rPr>
                <w:rFonts w:ascii="Times New Roman" w:hAnsi="Times New Roman" w:eastAsia="宋体" w:cs="Times New Roman"/>
                <w:color w:val="auto"/>
                <w:kern w:val="0"/>
                <w:sz w:val="20"/>
                <w:szCs w:val="20"/>
                <w:vertAlign w:val="superscript"/>
                <w:lang w:bidi="ar"/>
              </w:rPr>
              <w:t>ab</w:t>
            </w:r>
            <w:r>
              <w:rPr>
                <w:rFonts w:ascii="Times New Roman" w:hAnsi="Times New Roman" w:eastAsia="宋体" w:cs="Times New Roman"/>
                <w:color w:val="auto"/>
                <w:kern w:val="0"/>
                <w:sz w:val="20"/>
                <w:szCs w:val="20"/>
                <w:lang w:bidi="ar"/>
              </w:rPr>
              <w:t xml:space="preserve"> ± 0.13</w:t>
            </w:r>
          </w:p>
        </w:tc>
        <w:tc>
          <w:tcPr>
            <w:tcW w:w="619" w:type="pct"/>
            <w:tcBorders>
              <w:top w:val="single" w:color="000000" w:sz="8" w:space="0"/>
              <w:left w:val="nil"/>
              <w:bottom w:val="single" w:color="000000" w:sz="8" w:space="0"/>
              <w:right w:val="nil"/>
            </w:tcBorders>
            <w:shd w:val="clear" w:color="auto" w:fill="auto"/>
            <w:noWrap/>
            <w:vAlign w:val="center"/>
          </w:tcPr>
          <w:p w14:paraId="0B9AA48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2.67 ± 1.08</w:t>
            </w:r>
          </w:p>
        </w:tc>
        <w:tc>
          <w:tcPr>
            <w:tcW w:w="569" w:type="pct"/>
            <w:tcBorders>
              <w:top w:val="single" w:color="000000" w:sz="8" w:space="0"/>
              <w:left w:val="nil"/>
              <w:bottom w:val="single" w:color="000000" w:sz="8" w:space="0"/>
              <w:right w:val="nil"/>
            </w:tcBorders>
            <w:shd w:val="clear" w:color="auto" w:fill="auto"/>
            <w:noWrap/>
            <w:vAlign w:val="center"/>
          </w:tcPr>
          <w:p w14:paraId="5C1E66D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0.2 ± 0.07</w:t>
            </w:r>
          </w:p>
        </w:tc>
        <w:tc>
          <w:tcPr>
            <w:tcW w:w="619" w:type="pct"/>
            <w:tcBorders>
              <w:top w:val="single" w:color="000000" w:sz="8" w:space="0"/>
              <w:left w:val="nil"/>
              <w:bottom w:val="single" w:color="000000" w:sz="8" w:space="0"/>
              <w:right w:val="nil"/>
            </w:tcBorders>
            <w:shd w:val="clear" w:color="auto" w:fill="auto"/>
            <w:noWrap/>
            <w:vAlign w:val="center"/>
          </w:tcPr>
          <w:p w14:paraId="609356F5">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18.71 ± 1.70</w:t>
            </w:r>
          </w:p>
        </w:tc>
      </w:tr>
      <w:tr w14:paraId="73864501">
        <w:tblPrEx>
          <w:tblCellMar>
            <w:top w:w="0" w:type="dxa"/>
            <w:left w:w="108" w:type="dxa"/>
            <w:bottom w:w="0" w:type="dxa"/>
            <w:right w:w="108" w:type="dxa"/>
          </w:tblCellMar>
        </w:tblPrEx>
        <w:trPr>
          <w:trHeight w:val="323" w:hRule="atLeast"/>
        </w:trPr>
        <w:tc>
          <w:tcPr>
            <w:tcW w:w="570" w:type="pct"/>
            <w:tcBorders>
              <w:top w:val="nil"/>
              <w:left w:val="nil"/>
              <w:bottom w:val="single" w:color="000000" w:sz="8" w:space="0"/>
              <w:right w:val="nil"/>
            </w:tcBorders>
            <w:shd w:val="clear" w:color="auto" w:fill="auto"/>
          </w:tcPr>
          <w:p w14:paraId="343B9923">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Total</w:t>
            </w:r>
          </w:p>
        </w:tc>
        <w:tc>
          <w:tcPr>
            <w:tcW w:w="621" w:type="pct"/>
            <w:tcBorders>
              <w:top w:val="nil"/>
              <w:left w:val="nil"/>
              <w:bottom w:val="single" w:color="000000" w:sz="8" w:space="0"/>
              <w:right w:val="nil"/>
            </w:tcBorders>
            <w:shd w:val="clear" w:color="auto" w:fill="auto"/>
          </w:tcPr>
          <w:p w14:paraId="378BA644">
            <w:pPr>
              <w:jc w:val="center"/>
              <w:textAlignment w:val="top"/>
              <w:rPr>
                <w:rFonts w:ascii="Times New Roman" w:hAnsi="Times New Roman" w:eastAsia="宋体" w:cs="Times New Roman"/>
                <w:b/>
                <w:bCs/>
                <w:color w:val="auto"/>
                <w:sz w:val="20"/>
                <w:szCs w:val="20"/>
              </w:rPr>
            </w:pPr>
            <w:r>
              <w:rPr>
                <w:rFonts w:ascii="Times New Roman" w:hAnsi="Times New Roman" w:eastAsia="宋体" w:cs="Times New Roman"/>
                <w:b/>
                <w:bCs/>
                <w:color w:val="auto"/>
                <w:kern w:val="0"/>
                <w:sz w:val="20"/>
                <w:szCs w:val="20"/>
                <w:lang w:bidi="ar"/>
              </w:rPr>
              <w:t>Total</w:t>
            </w:r>
          </w:p>
        </w:tc>
        <w:tc>
          <w:tcPr>
            <w:tcW w:w="718" w:type="pct"/>
            <w:tcBorders>
              <w:top w:val="nil"/>
              <w:left w:val="nil"/>
              <w:bottom w:val="single" w:color="000000" w:sz="8" w:space="0"/>
              <w:right w:val="nil"/>
            </w:tcBorders>
            <w:shd w:val="clear" w:color="auto" w:fill="auto"/>
            <w:noWrap/>
            <w:vAlign w:val="center"/>
          </w:tcPr>
          <w:p w14:paraId="302163A9">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115.65 ± 4.15</w:t>
            </w:r>
          </w:p>
        </w:tc>
        <w:tc>
          <w:tcPr>
            <w:tcW w:w="651" w:type="pct"/>
            <w:tcBorders>
              <w:top w:val="nil"/>
              <w:left w:val="nil"/>
              <w:bottom w:val="single" w:color="000000" w:sz="8" w:space="0"/>
              <w:right w:val="nil"/>
            </w:tcBorders>
            <w:shd w:val="clear" w:color="auto" w:fill="auto"/>
            <w:noWrap/>
            <w:vAlign w:val="center"/>
          </w:tcPr>
          <w:p w14:paraId="2D6B85CD">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16.48± 0.21</w:t>
            </w:r>
          </w:p>
        </w:tc>
        <w:tc>
          <w:tcPr>
            <w:tcW w:w="629" w:type="pct"/>
            <w:tcBorders>
              <w:top w:val="nil"/>
              <w:left w:val="nil"/>
              <w:bottom w:val="single" w:color="000000" w:sz="8" w:space="0"/>
              <w:right w:val="nil"/>
            </w:tcBorders>
            <w:shd w:val="clear" w:color="auto" w:fill="auto"/>
            <w:noWrap/>
            <w:vAlign w:val="center"/>
          </w:tcPr>
          <w:p w14:paraId="2E17722C">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1.25 ± 0.03</w:t>
            </w:r>
          </w:p>
        </w:tc>
        <w:tc>
          <w:tcPr>
            <w:tcW w:w="619" w:type="pct"/>
            <w:tcBorders>
              <w:top w:val="nil"/>
              <w:left w:val="nil"/>
              <w:bottom w:val="single" w:color="000000" w:sz="8" w:space="0"/>
              <w:right w:val="nil"/>
            </w:tcBorders>
            <w:shd w:val="clear" w:color="auto" w:fill="auto"/>
            <w:noWrap/>
            <w:vAlign w:val="center"/>
          </w:tcPr>
          <w:p w14:paraId="34F242D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8.35 ± 0.59</w:t>
            </w:r>
          </w:p>
        </w:tc>
        <w:tc>
          <w:tcPr>
            <w:tcW w:w="569" w:type="pct"/>
            <w:tcBorders>
              <w:top w:val="nil"/>
              <w:left w:val="nil"/>
              <w:bottom w:val="single" w:color="000000" w:sz="8" w:space="0"/>
              <w:right w:val="nil"/>
            </w:tcBorders>
            <w:shd w:val="clear" w:color="auto" w:fill="auto"/>
            <w:noWrap/>
            <w:vAlign w:val="center"/>
          </w:tcPr>
          <w:p w14:paraId="61634447">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0.51 ± 0.03</w:t>
            </w:r>
          </w:p>
        </w:tc>
        <w:tc>
          <w:tcPr>
            <w:tcW w:w="619" w:type="pct"/>
            <w:tcBorders>
              <w:top w:val="nil"/>
              <w:left w:val="nil"/>
              <w:bottom w:val="single" w:color="000000" w:sz="8" w:space="0"/>
              <w:right w:val="nil"/>
            </w:tcBorders>
            <w:shd w:val="clear" w:color="auto" w:fill="auto"/>
            <w:noWrap/>
            <w:vAlign w:val="center"/>
          </w:tcPr>
          <w:p w14:paraId="311BD336">
            <w:pPr>
              <w:jc w:val="center"/>
              <w:textAlignment w:val="center"/>
              <w:rPr>
                <w:rFonts w:ascii="Times New Roman" w:hAnsi="Times New Roman" w:eastAsia="宋体" w:cs="Times New Roman"/>
                <w:color w:val="auto"/>
                <w:sz w:val="20"/>
                <w:szCs w:val="20"/>
              </w:rPr>
            </w:pPr>
            <w:r>
              <w:rPr>
                <w:rFonts w:ascii="Times New Roman" w:hAnsi="Times New Roman" w:eastAsia="宋体" w:cs="Times New Roman"/>
                <w:color w:val="auto"/>
                <w:kern w:val="0"/>
                <w:sz w:val="20"/>
                <w:szCs w:val="20"/>
                <w:lang w:bidi="ar"/>
              </w:rPr>
              <w:t>17.67 ± 0.32</w:t>
            </w:r>
          </w:p>
        </w:tc>
      </w:tr>
    </w:tbl>
    <w:p w14:paraId="795A5C9E">
      <w:pPr>
        <w:ind w:left="223" w:hanging="223" w:hangingChars="93"/>
        <w:rPr>
          <w:rFonts w:ascii="Times New Roman" w:hAnsi="Times New Roman" w:eastAsia="宋体" w:cs="Times New Roman"/>
          <w:color w:val="auto"/>
          <w:kern w:val="0"/>
          <w:sz w:val="24"/>
          <w:lang w:bidi="ar"/>
        </w:rPr>
      </w:pPr>
      <w:r>
        <w:rPr>
          <w:rFonts w:ascii="Times New Roman" w:hAnsi="Times New Roman" w:eastAsia="宋体" w:cs="Times New Roman"/>
          <w:color w:val="auto"/>
          <w:kern w:val="0"/>
          <w:sz w:val="24"/>
          <w:vertAlign w:val="superscript"/>
          <w:lang w:bidi="ar"/>
        </w:rPr>
        <w:t>†</w:t>
      </w:r>
      <w:r>
        <w:rPr>
          <w:rFonts w:hint="eastAsia" w:ascii="Times New Roman" w:hAnsi="Times New Roman" w:eastAsia="宋体" w:cs="Times New Roman"/>
          <w:color w:val="auto"/>
          <w:kern w:val="0"/>
          <w:sz w:val="24"/>
          <w:lang w:bidi="ar"/>
        </w:rPr>
        <w:t xml:space="preserve"> </w:t>
      </w:r>
      <w:r>
        <w:rPr>
          <w:rFonts w:ascii="Times New Roman" w:hAnsi="Times New Roman" w:eastAsia="宋体" w:cs="Times New Roman"/>
          <w:color w:val="auto"/>
          <w:kern w:val="0"/>
          <w:sz w:val="24"/>
          <w:lang w:bidi="ar"/>
        </w:rPr>
        <w:t>EBF, evergreen broad</w:t>
      </w:r>
      <w:r>
        <w:rPr>
          <w:rFonts w:hint="eastAsia" w:ascii="Times New Roman" w:hAnsi="Times New Roman" w:eastAsia="宋体" w:cs="Times New Roman"/>
          <w:color w:val="auto"/>
          <w:kern w:val="0"/>
          <w:sz w:val="24"/>
          <w:lang w:bidi="ar"/>
        </w:rPr>
        <w:t>-</w:t>
      </w:r>
      <w:r>
        <w:rPr>
          <w:rFonts w:ascii="Times New Roman" w:hAnsi="Times New Roman" w:eastAsia="宋体" w:cs="Times New Roman"/>
          <w:color w:val="auto"/>
          <w:kern w:val="0"/>
          <w:sz w:val="24"/>
          <w:lang w:bidi="ar"/>
        </w:rPr>
        <w:t>leaved forest; ECF, evergreen coniferous forest; DBF, deciduous broad</w:t>
      </w:r>
      <w:r>
        <w:rPr>
          <w:rFonts w:hint="eastAsia" w:ascii="Times New Roman" w:hAnsi="Times New Roman" w:eastAsia="宋体" w:cs="Times New Roman"/>
          <w:color w:val="auto"/>
          <w:kern w:val="0"/>
          <w:sz w:val="24"/>
          <w:lang w:bidi="ar"/>
        </w:rPr>
        <w:t>-</w:t>
      </w:r>
      <w:r>
        <w:rPr>
          <w:rFonts w:ascii="Times New Roman" w:hAnsi="Times New Roman" w:eastAsia="宋体" w:cs="Times New Roman"/>
          <w:color w:val="auto"/>
          <w:kern w:val="0"/>
          <w:sz w:val="24"/>
          <w:lang w:bidi="ar"/>
        </w:rPr>
        <w:t>leaved forest; MF, coniferous and broad</w:t>
      </w:r>
      <w:r>
        <w:rPr>
          <w:rFonts w:hint="eastAsia" w:ascii="Times New Roman" w:hAnsi="Times New Roman" w:eastAsia="宋体" w:cs="Times New Roman"/>
          <w:color w:val="auto"/>
          <w:kern w:val="0"/>
          <w:sz w:val="24"/>
          <w:lang w:bidi="ar"/>
        </w:rPr>
        <w:t>-</w:t>
      </w:r>
      <w:r>
        <w:rPr>
          <w:rFonts w:ascii="Times New Roman" w:hAnsi="Times New Roman" w:eastAsia="宋体" w:cs="Times New Roman"/>
          <w:color w:val="auto"/>
          <w:kern w:val="0"/>
          <w:sz w:val="24"/>
          <w:lang w:bidi="ar"/>
        </w:rPr>
        <w:t>leavedmixed forest; EBS, evergreen broad</w:t>
      </w:r>
      <w:r>
        <w:rPr>
          <w:rFonts w:hint="eastAsia" w:ascii="Times New Roman" w:hAnsi="Times New Roman" w:eastAsia="宋体" w:cs="Times New Roman"/>
          <w:color w:val="auto"/>
          <w:kern w:val="0"/>
          <w:sz w:val="24"/>
          <w:lang w:bidi="ar"/>
        </w:rPr>
        <w:t>-</w:t>
      </w:r>
      <w:r>
        <w:rPr>
          <w:rFonts w:ascii="Times New Roman" w:hAnsi="Times New Roman" w:eastAsia="宋体" w:cs="Times New Roman"/>
          <w:color w:val="auto"/>
          <w:kern w:val="0"/>
          <w:sz w:val="24"/>
          <w:lang w:bidi="ar"/>
        </w:rPr>
        <w:t>leaved shrubs; ECS, evergreen coniferous shrubs; DBS, deciduous broad</w:t>
      </w:r>
      <w:r>
        <w:rPr>
          <w:rFonts w:hint="eastAsia" w:ascii="Times New Roman" w:hAnsi="Times New Roman" w:eastAsia="宋体" w:cs="Times New Roman"/>
          <w:color w:val="auto"/>
          <w:kern w:val="0"/>
          <w:sz w:val="24"/>
          <w:lang w:bidi="ar"/>
        </w:rPr>
        <w:t>-</w:t>
      </w:r>
      <w:r>
        <w:rPr>
          <w:rFonts w:ascii="Times New Roman" w:hAnsi="Times New Roman" w:eastAsia="宋体" w:cs="Times New Roman"/>
          <w:color w:val="auto"/>
          <w:kern w:val="0"/>
          <w:sz w:val="24"/>
          <w:lang w:bidi="ar"/>
        </w:rPr>
        <w:t>leaved shrubs; AMG, alpine meadow grassland; ATG, alpine typical grassland; ADG, alpine desert grassland</w:t>
      </w:r>
    </w:p>
    <w:p w14:paraId="0A8531F3">
      <w:pPr>
        <w:ind w:left="84" w:hanging="84" w:hangingChars="35"/>
        <w:rPr>
          <w:rFonts w:ascii="Times New Roman" w:hAnsi="Times New Roman" w:eastAsia="宋体" w:cs="Times New Roman"/>
          <w:color w:val="auto"/>
          <w:kern w:val="0"/>
          <w:sz w:val="24"/>
        </w:rPr>
      </w:pPr>
      <w:r>
        <w:rPr>
          <w:rFonts w:ascii="Times New Roman" w:hAnsi="Times New Roman" w:eastAsia="宋体" w:cs="Times New Roman"/>
          <w:color w:val="auto"/>
          <w:kern w:val="0"/>
          <w:sz w:val="24"/>
          <w:vertAlign w:val="superscript"/>
          <w:lang w:bidi="ar"/>
        </w:rPr>
        <w:t>‡</w:t>
      </w:r>
      <w:r>
        <w:rPr>
          <w:rFonts w:hint="eastAsia" w:ascii="Times New Roman" w:hAnsi="Times New Roman" w:eastAsia="宋体" w:cs="Times New Roman"/>
          <w:color w:val="auto"/>
          <w:kern w:val="0"/>
          <w:sz w:val="24"/>
          <w:vertAlign w:val="superscript"/>
          <w:lang w:bidi="ar"/>
        </w:rPr>
        <w:t xml:space="preserve">  </w:t>
      </w:r>
      <w:r>
        <w:rPr>
          <w:rFonts w:ascii="Times New Roman" w:hAnsi="Times New Roman" w:eastAsia="宋体" w:cs="Times New Roman"/>
          <w:color w:val="auto"/>
          <w:kern w:val="0"/>
          <w:sz w:val="24"/>
        </w:rPr>
        <w:t xml:space="preserve">Different lowercase letters indicate significant differences between the organs in each column at </w:t>
      </w:r>
      <w:r>
        <w:rPr>
          <w:rFonts w:hint="eastAsia" w:ascii="Times New Roman" w:hAnsi="Times New Roman" w:eastAsia="宋体" w:cs="Times New Roman"/>
          <w:i/>
          <w:color w:val="auto"/>
          <w:kern w:val="0"/>
          <w:sz w:val="24"/>
          <w:lang w:val="en-US" w:eastAsia="zh-CN"/>
        </w:rPr>
        <w:t>P</w:t>
      </w:r>
      <w:r>
        <w:rPr>
          <w:rFonts w:ascii="Times New Roman" w:hAnsi="Times New Roman" w:eastAsia="宋体" w:cs="Times New Roman"/>
          <w:color w:val="auto"/>
          <w:kern w:val="0"/>
          <w:sz w:val="24"/>
        </w:rPr>
        <w:t xml:space="preserve"> &lt; 0.05</w:t>
      </w:r>
    </w:p>
    <w:p w14:paraId="583A679F">
      <w:pPr>
        <w:rPr>
          <w:rFonts w:ascii="Times New Roman" w:hAnsi="Times New Roman" w:cs="Times New Roman"/>
          <w:color w:val="auto"/>
        </w:rPr>
      </w:pPr>
      <w:r>
        <w:rPr>
          <w:rFonts w:ascii="Times New Roman" w:hAnsi="Times New Roman" w:cs="Times New Roman"/>
          <w:color w:val="auto"/>
        </w:rPr>
        <w:br w:type="page"/>
      </w:r>
    </w:p>
    <w:p w14:paraId="41CC921F">
      <w:pPr>
        <w:rPr>
          <w:rFonts w:ascii="Times New Roman" w:hAnsi="Times New Roman" w:cs="Times New Roman"/>
          <w:color w:val="auto"/>
        </w:rPr>
        <w:sectPr>
          <w:pgSz w:w="16838" w:h="11906" w:orient="landscape"/>
          <w:pgMar w:top="1417" w:right="1417" w:bottom="1417" w:left="1417" w:header="851" w:footer="992" w:gutter="0"/>
          <w:cols w:space="0" w:num="1"/>
          <w:docGrid w:type="lines" w:linePitch="312" w:charSpace="0"/>
        </w:sectPr>
      </w:pPr>
    </w:p>
    <w:p w14:paraId="6427F09D">
      <w:pPr>
        <w:rPr>
          <w:color w:val="auto"/>
        </w:rPr>
      </w:pPr>
      <w:r>
        <w:rPr>
          <w:color w:val="auto"/>
        </w:rPr>
        <w:drawing>
          <wp:inline distT="0" distB="0" distL="114300" distR="114300">
            <wp:extent cx="5829300" cy="3973195"/>
            <wp:effectExtent l="0" t="0" r="0" b="1016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5"/>
                    <a:stretch>
                      <a:fillRect/>
                    </a:stretch>
                  </pic:blipFill>
                  <pic:spPr>
                    <a:xfrm>
                      <a:off x="0" y="0"/>
                      <a:ext cx="5829300" cy="3973195"/>
                    </a:xfrm>
                    <a:prstGeom prst="rect">
                      <a:avLst/>
                    </a:prstGeom>
                    <a:noFill/>
                    <a:ln>
                      <a:noFill/>
                    </a:ln>
                  </pic:spPr>
                </pic:pic>
              </a:graphicData>
            </a:graphic>
          </wp:inline>
        </w:drawing>
      </w:r>
    </w:p>
    <w:p w14:paraId="4D3BF9D9">
      <w:pPr>
        <w:suppressAutoHyphens/>
        <w:jc w:val="both"/>
        <w:rPr>
          <w:rFonts w:ascii="Times New Roman" w:hAnsi="Times New Roman" w:cs="Times New Roman"/>
          <w:color w:val="auto"/>
        </w:rPr>
      </w:pPr>
      <w:r>
        <w:rPr>
          <w:rFonts w:hint="eastAsia" w:ascii="Times New Roman" w:hAnsi="Times New Roman" w:eastAsia="楷体" w:cs="Times New Roman"/>
          <w:b/>
          <w:color w:val="auto"/>
          <w:kern w:val="3"/>
          <w:sz w:val="22"/>
          <w:szCs w:val="22"/>
          <w:lang w:bidi="ar"/>
        </w:rPr>
        <w:t xml:space="preserve">Fig. S1 </w:t>
      </w:r>
      <w:r>
        <w:rPr>
          <w:rFonts w:ascii="Times New Roman" w:hAnsi="Times New Roman" w:eastAsia="楷体" w:cs="Times New Roman"/>
          <w:b/>
          <w:color w:val="auto"/>
          <w:kern w:val="3"/>
          <w:sz w:val="22"/>
          <w:szCs w:val="22"/>
          <w:lang w:bidi="ar"/>
        </w:rPr>
        <w:t xml:space="preserve">Structural equation model (SEM) of the direct and indirect effects of </w:t>
      </w:r>
      <w:bookmarkStart w:id="3" w:name="_Hlk153128875"/>
      <w:r>
        <w:rPr>
          <w:rFonts w:ascii="Times New Roman" w:hAnsi="Times New Roman" w:eastAsia="楷体" w:cs="Times New Roman"/>
          <w:b/>
          <w:color w:val="auto"/>
          <w:kern w:val="3"/>
          <w:sz w:val="22"/>
          <w:szCs w:val="22"/>
          <w:lang w:bidi="ar"/>
        </w:rPr>
        <w:t>gross primary productivity (GPP; gC m</w:t>
      </w:r>
      <w:r>
        <w:rPr>
          <w:rFonts w:ascii="Times New Roman" w:hAnsi="Times New Roman" w:eastAsia="楷体" w:cs="Times New Roman"/>
          <w:b/>
          <w:color w:val="auto"/>
          <w:kern w:val="3"/>
          <w:sz w:val="22"/>
          <w:szCs w:val="22"/>
          <w:vertAlign w:val="superscript"/>
          <w:lang w:bidi="ar"/>
        </w:rPr>
        <w:t>–2</w:t>
      </w:r>
      <w:r>
        <w:rPr>
          <w:rFonts w:ascii="Times New Roman" w:hAnsi="Times New Roman" w:eastAsia="楷体" w:cs="Times New Roman"/>
          <w:b/>
          <w:color w:val="auto"/>
          <w:kern w:val="3"/>
          <w:sz w:val="22"/>
          <w:szCs w:val="22"/>
          <w:lang w:bidi="ar"/>
        </w:rPr>
        <w:t xml:space="preserve"> a</w:t>
      </w:r>
      <w:r>
        <w:rPr>
          <w:rFonts w:ascii="Times New Roman" w:hAnsi="Times New Roman" w:eastAsia="楷体" w:cs="Times New Roman"/>
          <w:b/>
          <w:color w:val="auto"/>
          <w:kern w:val="3"/>
          <w:sz w:val="22"/>
          <w:szCs w:val="22"/>
          <w:vertAlign w:val="superscript"/>
          <w:lang w:bidi="ar"/>
        </w:rPr>
        <w:t>–1</w:t>
      </w:r>
      <w:r>
        <w:rPr>
          <w:rFonts w:ascii="Times New Roman" w:hAnsi="Times New Roman" w:eastAsia="楷体" w:cs="Times New Roman"/>
          <w:b/>
          <w:color w:val="auto"/>
          <w:kern w:val="3"/>
          <w:sz w:val="22"/>
          <w:szCs w:val="22"/>
          <w:lang w:bidi="ar"/>
        </w:rPr>
        <w:t>)</w:t>
      </w:r>
      <w:bookmarkEnd w:id="3"/>
      <w:r>
        <w:rPr>
          <w:rFonts w:ascii="Times New Roman" w:hAnsi="Times New Roman" w:eastAsia="楷体" w:cs="Times New Roman"/>
          <w:b/>
          <w:color w:val="auto"/>
          <w:kern w:val="3"/>
          <w:sz w:val="22"/>
          <w:szCs w:val="22"/>
          <w:lang w:bidi="ar"/>
        </w:rPr>
        <w:t xml:space="preserve">. </w:t>
      </w:r>
      <w:r>
        <w:rPr>
          <w:rFonts w:ascii="Times New Roman" w:hAnsi="Times New Roman" w:eastAsia="楷体" w:cs="Times New Roman"/>
          <w:bCs/>
          <w:color w:val="auto"/>
          <w:kern w:val="3"/>
          <w:sz w:val="22"/>
          <w:szCs w:val="22"/>
          <w:lang w:bidi="ar"/>
        </w:rPr>
        <w:t>In (a), double-headed arrows represent covariance between related variables and single-headed arrows indicate the hypothesized direction of causation. Numbers adjacent to the arrows are standardized path coefficients. The proportion of variance explained (R</w:t>
      </w:r>
      <w:r>
        <w:rPr>
          <w:rFonts w:ascii="Times New Roman" w:hAnsi="Times New Roman" w:eastAsia="楷体" w:cs="Times New Roman"/>
          <w:bCs/>
          <w:color w:val="auto"/>
          <w:kern w:val="3"/>
          <w:sz w:val="22"/>
          <w:szCs w:val="22"/>
          <w:vertAlign w:val="superscript"/>
          <w:lang w:bidi="ar"/>
        </w:rPr>
        <w:t>2</w:t>
      </w:r>
      <w:r>
        <w:rPr>
          <w:rFonts w:ascii="Times New Roman" w:hAnsi="Times New Roman" w:eastAsia="楷体" w:cs="Times New Roman"/>
          <w:bCs/>
          <w:color w:val="auto"/>
          <w:kern w:val="3"/>
          <w:sz w:val="22"/>
          <w:szCs w:val="22"/>
          <w:lang w:bidi="ar"/>
        </w:rPr>
        <w:t>) appears alongside each response variable in the model.</w:t>
      </w:r>
      <w:r>
        <w:rPr>
          <w:rFonts w:ascii="Times New Roman" w:hAnsi="Times New Roman" w:eastAsia="楷体" w:cs="Times New Roman"/>
          <w:bCs/>
          <w:kern w:val="3"/>
          <w:sz w:val="22"/>
          <w:szCs w:val="22"/>
          <w:lang w:bidi="ar"/>
        </w:rPr>
        <w:t xml:space="preserve"> *</w:t>
      </w:r>
      <w:r>
        <w:rPr>
          <w:rFonts w:hint="eastAsia" w:ascii="Times New Roman" w:hAnsi="Times New Roman" w:eastAsia="楷体" w:cs="Times New Roman"/>
          <w:bCs/>
          <w:i/>
          <w:iCs/>
          <w:kern w:val="3"/>
          <w:sz w:val="22"/>
          <w:szCs w:val="22"/>
          <w:lang w:val="en-US" w:eastAsia="zh-CN" w:bidi="ar"/>
        </w:rPr>
        <w:t>P</w:t>
      </w:r>
      <w:r>
        <w:rPr>
          <w:rFonts w:ascii="Times New Roman" w:hAnsi="Times New Roman" w:eastAsia="楷体" w:cs="Times New Roman"/>
          <w:bCs/>
          <w:kern w:val="3"/>
          <w:sz w:val="22"/>
          <w:szCs w:val="22"/>
          <w:lang w:bidi="ar"/>
        </w:rPr>
        <w:t xml:space="preserve"> &lt; 0.05; **</w:t>
      </w:r>
      <w:r>
        <w:rPr>
          <w:rFonts w:hint="eastAsia" w:ascii="Times New Roman" w:hAnsi="Times New Roman" w:eastAsia="楷体" w:cs="Times New Roman"/>
          <w:bCs/>
          <w:i/>
          <w:iCs/>
          <w:kern w:val="3"/>
          <w:sz w:val="22"/>
          <w:szCs w:val="22"/>
          <w:lang w:val="en-US" w:eastAsia="zh-CN" w:bidi="ar"/>
        </w:rPr>
        <w:t>P</w:t>
      </w:r>
      <w:r>
        <w:rPr>
          <w:rFonts w:ascii="Times New Roman" w:hAnsi="Times New Roman" w:eastAsia="楷体" w:cs="Times New Roman"/>
          <w:bCs/>
          <w:kern w:val="3"/>
          <w:sz w:val="22"/>
          <w:szCs w:val="22"/>
          <w:lang w:bidi="ar"/>
        </w:rPr>
        <w:t xml:space="preserve"> &lt; 0.01; ***</w:t>
      </w:r>
      <w:r>
        <w:rPr>
          <w:rFonts w:hint="eastAsia" w:ascii="Times New Roman" w:hAnsi="Times New Roman" w:eastAsia="楷体" w:cs="Times New Roman"/>
          <w:bCs/>
          <w:i/>
          <w:iCs/>
          <w:kern w:val="3"/>
          <w:sz w:val="22"/>
          <w:szCs w:val="22"/>
          <w:lang w:val="en-US" w:eastAsia="zh-CN" w:bidi="ar"/>
        </w:rPr>
        <w:t>P</w:t>
      </w:r>
      <w:r>
        <w:rPr>
          <w:rFonts w:ascii="Times New Roman" w:hAnsi="Times New Roman" w:eastAsia="楷体" w:cs="Times New Roman"/>
          <w:bCs/>
          <w:kern w:val="3"/>
          <w:sz w:val="22"/>
          <w:szCs w:val="22"/>
          <w:lang w:bidi="ar"/>
        </w:rPr>
        <w:t xml:space="preserve"> &lt; 0.001</w:t>
      </w:r>
      <w:r>
        <w:rPr>
          <w:rFonts w:ascii="Times New Roman" w:hAnsi="Times New Roman" w:eastAsia="楷体" w:cs="Times New Roman"/>
          <w:bCs/>
          <w:color w:val="auto"/>
          <w:kern w:val="3"/>
          <w:sz w:val="22"/>
          <w:szCs w:val="22"/>
          <w:lang w:bidi="ar"/>
        </w:rPr>
        <w:t xml:space="preserve">. (b) Standardized total effects, standardized direct effects, and standardized indirect effects of different variables on GPP. </w:t>
      </w:r>
      <w:r>
        <w:rPr>
          <w:rFonts w:hint="eastAsia" w:ascii="Times New Roman" w:hAnsi="Times New Roman" w:eastAsia="宋体" w:cs="Times New Roman"/>
          <w:color w:val="auto"/>
          <w:kern w:val="0"/>
          <w:sz w:val="22"/>
          <w:szCs w:val="22"/>
          <w:lang w:bidi="ar"/>
        </w:rPr>
        <w:t>MAP</w:t>
      </w:r>
      <w:r>
        <w:rPr>
          <w:rFonts w:ascii="Times New Roman" w:hAnsi="Times New Roman" w:eastAsia="宋体" w:cs="Times New Roman"/>
          <w:color w:val="auto"/>
          <w:kern w:val="0"/>
          <w:sz w:val="22"/>
          <w:szCs w:val="22"/>
          <w:lang w:bidi="ar"/>
        </w:rPr>
        <w:t>:</w:t>
      </w:r>
      <w:r>
        <w:rPr>
          <w:rFonts w:hint="eastAsia" w:ascii="Times New Roman" w:hAnsi="Times New Roman" w:eastAsia="宋体" w:cs="Times New Roman"/>
          <w:color w:val="auto"/>
          <w:kern w:val="0"/>
          <w:sz w:val="22"/>
          <w:szCs w:val="22"/>
          <w:lang w:bidi="ar"/>
        </w:rPr>
        <w:t xml:space="preserve"> annual precipitation</w:t>
      </w:r>
      <w:r>
        <w:rPr>
          <w:rFonts w:ascii="Times New Roman" w:hAnsi="Times New Roman" w:eastAsia="宋体" w:cs="Times New Roman"/>
          <w:color w:val="auto"/>
          <w:kern w:val="0"/>
          <w:sz w:val="22"/>
          <w:szCs w:val="22"/>
          <w:lang w:bidi="ar"/>
        </w:rPr>
        <w:t>. L</w:t>
      </w:r>
      <w:r>
        <w:rPr>
          <w:rFonts w:ascii="Times New Roman" w:hAnsi="Times New Roman" w:eastAsia="宋体" w:cs="Times New Roman"/>
          <w:color w:val="auto"/>
          <w:kern w:val="0"/>
          <w:sz w:val="22"/>
          <w:szCs w:val="22"/>
          <w:vertAlign w:val="subscript"/>
          <w:lang w:bidi="ar"/>
        </w:rPr>
        <w:t>gs,</w:t>
      </w:r>
      <w:r>
        <w:rPr>
          <w:rFonts w:ascii="Times New Roman" w:hAnsi="Times New Roman" w:eastAsia="宋体" w:cs="Times New Roman"/>
          <w:color w:val="auto"/>
          <w:kern w:val="0"/>
          <w:sz w:val="22"/>
          <w:szCs w:val="22"/>
          <w:lang w:bidi="ar"/>
        </w:rPr>
        <w:t xml:space="preserve"> length of </w:t>
      </w:r>
      <w:r>
        <w:rPr>
          <w:rFonts w:ascii="Times New Roman" w:hAnsi="Times New Roman" w:eastAsia="宋体" w:cs="Times New Roman"/>
          <w:color w:val="auto"/>
          <w:kern w:val="0"/>
          <w:sz w:val="22"/>
          <w:szCs w:val="22"/>
        </w:rPr>
        <w:t>plant</w:t>
      </w:r>
      <w:r>
        <w:rPr>
          <w:rFonts w:ascii="Times New Roman" w:hAnsi="Times New Roman" w:eastAsia="宋体" w:cs="Times New Roman"/>
          <w:color w:val="auto"/>
          <w:kern w:val="0"/>
          <w:sz w:val="22"/>
          <w:szCs w:val="22"/>
          <w:lang w:bidi="ar"/>
        </w:rPr>
        <w:t>-growing season.P</w:t>
      </w:r>
      <w:r>
        <w:rPr>
          <w:rFonts w:ascii="Times New Roman" w:hAnsi="Times New Roman" w:eastAsia="宋体" w:cs="Times New Roman"/>
          <w:color w:val="auto"/>
          <w:kern w:val="0"/>
          <w:sz w:val="22"/>
          <w:szCs w:val="22"/>
          <w:vertAlign w:val="subscript"/>
          <w:lang w:bidi="ar"/>
        </w:rPr>
        <w:t>density</w:t>
      </w:r>
      <w:r>
        <w:rPr>
          <w:rFonts w:ascii="Times New Roman" w:hAnsi="Times New Roman" w:cs="Times New Roman"/>
          <w:color w:val="auto"/>
          <w:sz w:val="22"/>
          <w:szCs w:val="22"/>
        </w:rPr>
        <w:t xml:space="preserve">, </w:t>
      </w:r>
      <w:r>
        <w:rPr>
          <w:rFonts w:ascii="Times New Roman" w:hAnsi="Times New Roman" w:eastAsia="宋体" w:cs="Times New Roman"/>
          <w:color w:val="auto"/>
          <w:kern w:val="0"/>
          <w:sz w:val="22"/>
          <w:szCs w:val="22"/>
          <w:lang w:bidi="ar"/>
        </w:rPr>
        <w:t>leaf phosphorus density. P</w:t>
      </w:r>
      <w:r>
        <w:rPr>
          <w:rFonts w:ascii="Times New Roman" w:hAnsi="Times New Roman" w:eastAsia="宋体" w:cs="Times New Roman"/>
          <w:color w:val="auto"/>
          <w:kern w:val="0"/>
          <w:sz w:val="22"/>
          <w:szCs w:val="22"/>
          <w:vertAlign w:val="subscript"/>
          <w:lang w:bidi="ar"/>
        </w:rPr>
        <w:t>content</w:t>
      </w:r>
      <w:r>
        <w:rPr>
          <w:rFonts w:ascii="Times New Roman" w:hAnsi="Times New Roman" w:eastAsia="宋体" w:cs="Times New Roman"/>
          <w:color w:val="auto"/>
          <w:kern w:val="0"/>
          <w:sz w:val="22"/>
          <w:szCs w:val="22"/>
          <w:lang w:bidi="ar"/>
        </w:rPr>
        <w:t>, leaf phosphorus content. N</w:t>
      </w:r>
      <w:r>
        <w:rPr>
          <w:rFonts w:ascii="Times New Roman" w:hAnsi="Times New Roman" w:eastAsia="宋体" w:cs="Times New Roman"/>
          <w:color w:val="auto"/>
          <w:kern w:val="0"/>
          <w:sz w:val="22"/>
          <w:szCs w:val="22"/>
          <w:vertAlign w:val="subscript"/>
          <w:lang w:bidi="ar"/>
        </w:rPr>
        <w:t>density</w:t>
      </w:r>
      <w:r>
        <w:rPr>
          <w:rFonts w:ascii="Times New Roman" w:hAnsi="Times New Roman" w:eastAsia="宋体" w:cs="Times New Roman"/>
          <w:color w:val="auto"/>
          <w:kern w:val="0"/>
          <w:sz w:val="22"/>
          <w:szCs w:val="22"/>
          <w:lang w:bidi="ar"/>
        </w:rPr>
        <w:t>, leaf nitrogen density</w:t>
      </w:r>
      <w:r>
        <w:rPr>
          <w:rFonts w:hint="eastAsia" w:ascii="Times New Roman" w:hAnsi="Times New Roman" w:eastAsia="宋体" w:cs="Times New Roman"/>
          <w:color w:val="auto"/>
          <w:kern w:val="0"/>
          <w:sz w:val="22"/>
          <w:szCs w:val="22"/>
          <w:lang w:bidi="ar"/>
        </w:rPr>
        <w:t>.</w:t>
      </w:r>
      <w:bookmarkStart w:id="4" w:name="_Hlk178088011"/>
      <w:r>
        <w:rPr>
          <w:rFonts w:ascii="Times New Roman" w:hAnsi="Times New Roman" w:eastAsia="宋体" w:cs="Times New Roman"/>
          <w:color w:val="auto"/>
          <w:kern w:val="0"/>
          <w:sz w:val="22"/>
          <w:szCs w:val="22"/>
          <w:lang w:bidi="ar"/>
        </w:rPr>
        <w:t>N</w:t>
      </w:r>
      <w:r>
        <w:rPr>
          <w:rFonts w:ascii="Times New Roman" w:hAnsi="Times New Roman" w:eastAsia="宋体" w:cs="Times New Roman"/>
          <w:color w:val="auto"/>
          <w:kern w:val="0"/>
          <w:sz w:val="22"/>
          <w:szCs w:val="22"/>
          <w:vertAlign w:val="subscript"/>
          <w:lang w:bidi="ar"/>
        </w:rPr>
        <w:t xml:space="preserve">content, </w:t>
      </w:r>
      <w:r>
        <w:rPr>
          <w:rFonts w:ascii="Times New Roman" w:hAnsi="Times New Roman" w:eastAsia="宋体" w:cs="Times New Roman"/>
          <w:color w:val="auto"/>
          <w:kern w:val="0"/>
          <w:sz w:val="22"/>
          <w:szCs w:val="22"/>
          <w:lang w:bidi="ar"/>
        </w:rPr>
        <w:t>leaf nitrogen content.</w:t>
      </w:r>
      <w:r>
        <w:rPr>
          <w:rFonts w:ascii="Times New Roman" w:hAnsi="Times New Roman" w:eastAsia="宋体" w:cs="Times New Roman"/>
          <w:color w:val="auto"/>
          <w:kern w:val="0"/>
          <w:sz w:val="22"/>
          <w:szCs w:val="22"/>
          <w:vertAlign w:val="subscript"/>
          <w:lang w:bidi="ar"/>
        </w:rPr>
        <w:t xml:space="preserve"> </w:t>
      </w:r>
      <w:bookmarkEnd w:id="4"/>
      <w:r>
        <w:rPr>
          <w:rFonts w:ascii="Times New Roman" w:hAnsi="Times New Roman" w:eastAsia="宋体" w:cs="Times New Roman"/>
          <w:color w:val="auto"/>
          <w:sz w:val="24"/>
        </w:rPr>
        <w:t>The model fit statistics are as follows: χ² = 0.</w:t>
      </w:r>
      <w:r>
        <w:rPr>
          <w:rFonts w:hint="eastAsia" w:ascii="Times New Roman" w:hAnsi="Times New Roman" w:eastAsia="宋体" w:cs="Times New Roman"/>
          <w:color w:val="auto"/>
          <w:sz w:val="24"/>
        </w:rPr>
        <w:t>94</w:t>
      </w:r>
      <w:r>
        <w:rPr>
          <w:rFonts w:ascii="Times New Roman" w:hAnsi="Times New Roman" w:eastAsia="宋体" w:cs="Times New Roman"/>
          <w:color w:val="auto"/>
          <w:sz w:val="24"/>
        </w:rPr>
        <w:t xml:space="preserve">, </w:t>
      </w:r>
      <w:r>
        <w:rPr>
          <w:rFonts w:ascii="Times New Roman" w:hAnsi="Times New Roman" w:eastAsia="宋体" w:cs="Times New Roman"/>
          <w:i/>
          <w:iCs/>
          <w:color w:val="auto"/>
          <w:sz w:val="24"/>
        </w:rPr>
        <w:t>p</w:t>
      </w:r>
      <w:r>
        <w:rPr>
          <w:rFonts w:ascii="Times New Roman" w:hAnsi="Times New Roman" w:eastAsia="宋体" w:cs="Times New Roman"/>
          <w:color w:val="auto"/>
          <w:sz w:val="24"/>
        </w:rPr>
        <w:t xml:space="preserve"> = 0.</w:t>
      </w:r>
      <w:r>
        <w:rPr>
          <w:rFonts w:hint="eastAsia" w:ascii="Times New Roman" w:hAnsi="Times New Roman" w:eastAsia="宋体" w:cs="Times New Roman"/>
          <w:color w:val="auto"/>
          <w:sz w:val="24"/>
        </w:rPr>
        <w:t>053</w:t>
      </w:r>
      <w:r>
        <w:rPr>
          <w:rFonts w:ascii="Times New Roman" w:hAnsi="Times New Roman" w:eastAsia="宋体" w:cs="Times New Roman"/>
          <w:color w:val="auto"/>
          <w:sz w:val="24"/>
        </w:rPr>
        <w:t>, GFI = 0.99</w:t>
      </w:r>
      <w:r>
        <w:rPr>
          <w:rFonts w:hint="eastAsia" w:ascii="Times New Roman" w:hAnsi="Times New Roman" w:eastAsia="宋体" w:cs="Times New Roman"/>
          <w:color w:val="auto"/>
          <w:sz w:val="24"/>
        </w:rPr>
        <w:t>4</w:t>
      </w:r>
      <w:r>
        <w:rPr>
          <w:rFonts w:ascii="Times New Roman" w:hAnsi="Times New Roman" w:eastAsia="宋体" w:cs="Times New Roman"/>
          <w:color w:val="auto"/>
          <w:sz w:val="24"/>
        </w:rPr>
        <w:t xml:space="preserve">, RMSEA &lt; 0.0001, AIC = </w:t>
      </w:r>
      <w:r>
        <w:rPr>
          <w:rFonts w:hint="eastAsia" w:ascii="Times New Roman" w:hAnsi="Times New Roman" w:eastAsia="宋体" w:cs="Times New Roman"/>
          <w:color w:val="auto"/>
          <w:sz w:val="24"/>
        </w:rPr>
        <w:t>5</w:t>
      </w:r>
      <w:r>
        <w:rPr>
          <w:rFonts w:ascii="Times New Roman" w:hAnsi="Times New Roman" w:eastAsia="宋体" w:cs="Times New Roman"/>
          <w:color w:val="auto"/>
          <w:sz w:val="24"/>
        </w:rPr>
        <w:t>6.</w:t>
      </w:r>
      <w:r>
        <w:rPr>
          <w:rFonts w:hint="eastAsia" w:ascii="Times New Roman" w:hAnsi="Times New Roman" w:eastAsia="宋体" w:cs="Times New Roman"/>
          <w:color w:val="auto"/>
          <w:sz w:val="24"/>
        </w:rPr>
        <w:t>00</w:t>
      </w:r>
      <w:r>
        <w:rPr>
          <w:rFonts w:ascii="Times New Roman" w:hAnsi="Times New Roman" w:eastAsia="宋体" w:cs="Times New Roman"/>
          <w:color w:val="auto"/>
          <w:sz w:val="24"/>
        </w:rPr>
        <w:t>.</w:t>
      </w:r>
    </w:p>
    <w:p w14:paraId="01C1B720">
      <w:pPr>
        <w:rPr>
          <w:rFonts w:ascii="Times New Roman" w:hAnsi="Times New Roman" w:cs="Times New Roman"/>
          <w:b/>
          <w:bCs/>
          <w:color w:val="auto"/>
        </w:rPr>
      </w:pPr>
      <w:r>
        <w:rPr>
          <w:rFonts w:hint="eastAsia" w:ascii="Times New Roman" w:hAnsi="Times New Roman" w:cs="Times New Roman"/>
          <w:b/>
          <w:bCs/>
          <w:color w:val="auto"/>
        </w:rPr>
        <w:br w:type="page"/>
      </w:r>
    </w:p>
    <w:p w14:paraId="12C077D0">
      <w:pPr>
        <w:rPr>
          <w:rFonts w:ascii="Times New Roman" w:hAnsi="Times New Roman" w:cs="Times New Roman"/>
          <w:b/>
          <w:bCs/>
          <w:color w:val="auto"/>
        </w:rPr>
      </w:pPr>
    </w:p>
    <w:p w14:paraId="5FE7D078">
      <w:pPr>
        <w:jc w:val="center"/>
        <w:rPr>
          <w:rFonts w:ascii="Times New Roman" w:hAnsi="Times New Roman" w:cs="Times New Roman"/>
          <w:color w:val="auto"/>
        </w:rPr>
      </w:pPr>
      <w:r>
        <w:rPr>
          <w:rFonts w:ascii="Times New Roman" w:hAnsi="Times New Roman" w:cs="Times New Roman"/>
          <w:color w:val="auto"/>
        </w:rPr>
        <w:drawing>
          <wp:inline distT="0" distB="0" distL="114300" distR="114300">
            <wp:extent cx="5756910" cy="2501900"/>
            <wp:effectExtent l="0" t="0" r="762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
                    <a:stretch>
                      <a:fillRect/>
                    </a:stretch>
                  </pic:blipFill>
                  <pic:spPr>
                    <a:xfrm>
                      <a:off x="0" y="0"/>
                      <a:ext cx="5756910" cy="2501900"/>
                    </a:xfrm>
                    <a:prstGeom prst="rect">
                      <a:avLst/>
                    </a:prstGeom>
                    <a:noFill/>
                    <a:ln>
                      <a:noFill/>
                    </a:ln>
                  </pic:spPr>
                </pic:pic>
              </a:graphicData>
            </a:graphic>
          </wp:inline>
        </w:drawing>
      </w:r>
    </w:p>
    <w:p w14:paraId="1FE99115">
      <w:pPr>
        <w:rPr>
          <w:rFonts w:ascii="Times New Roman" w:hAnsi="Times New Roman" w:cs="Times New Roman"/>
          <w:color w:val="auto"/>
        </w:rPr>
      </w:pPr>
      <w:r>
        <w:rPr>
          <w:rFonts w:ascii="Times New Roman" w:hAnsi="Times New Roman" w:cs="Times New Roman"/>
          <w:b/>
          <w:bCs/>
          <w:color w:val="auto"/>
        </w:rPr>
        <w:t>Fig. S</w:t>
      </w:r>
      <w:r>
        <w:rPr>
          <w:rFonts w:hint="eastAsia" w:ascii="Times New Roman" w:hAnsi="Times New Roman" w:cs="Times New Roman"/>
          <w:b/>
          <w:bCs/>
          <w:color w:val="auto"/>
        </w:rPr>
        <w:t>2</w:t>
      </w:r>
      <w:r>
        <w:rPr>
          <w:rFonts w:ascii="Times New Roman" w:hAnsi="Times New Roman" w:cs="Times New Roman"/>
          <w:b/>
          <w:bCs/>
          <w:color w:val="auto"/>
        </w:rPr>
        <w:t xml:space="preserve"> Sampling area and survey sample of plant community</w:t>
      </w:r>
      <w:r>
        <w:rPr>
          <w:rFonts w:ascii="Times New Roman" w:hAnsi="Times New Roman" w:cs="Times New Roman"/>
          <w:color w:val="auto"/>
        </w:rPr>
        <w:t>. The plot sizes were determined based on vegetation structure and spatial distribution to ensure representative sampling of diff</w:t>
      </w:r>
      <w:bookmarkStart w:id="5" w:name="_GoBack"/>
      <w:bookmarkEnd w:id="5"/>
      <w:r>
        <w:rPr>
          <w:rFonts w:ascii="Times New Roman" w:hAnsi="Times New Roman" w:cs="Times New Roman"/>
          <w:color w:val="auto"/>
        </w:rPr>
        <w:t>erent plant functional groups.</w:t>
      </w:r>
      <w:r>
        <w:rPr>
          <w:rFonts w:hint="eastAsia" w:ascii="Times New Roman" w:hAnsi="Times New Roman" w:cs="Times New Roman"/>
          <w:color w:val="auto"/>
        </w:rPr>
        <w:t xml:space="preserve"> </w:t>
      </w:r>
      <w:r>
        <w:rPr>
          <w:rFonts w:ascii="Times New Roman" w:hAnsi="Times New Roman" w:cs="Times New Roman"/>
          <w:color w:val="auto"/>
        </w:rPr>
        <w:t xml:space="preserve">Trees sample of 20 m × 20 m, shrubs samples of 5 m × 5 m, and herbs samples of 1 m × 1 m. </w:t>
      </w:r>
    </w:p>
    <w:p w14:paraId="0AA4E75F">
      <w:pPr>
        <w:rPr>
          <w:rFonts w:ascii="Times New Roman" w:hAnsi="Times New Roman" w:cs="Times New Roman"/>
          <w:b/>
          <w:bCs/>
          <w:color w:val="auto"/>
        </w:rPr>
      </w:pPr>
      <w:r>
        <w:rPr>
          <w:rFonts w:ascii="Times New Roman" w:hAnsi="Times New Roman" w:cs="Times New Roman"/>
          <w:color w:val="auto"/>
        </w:rPr>
        <w:br w:type="page"/>
      </w:r>
    </w:p>
    <w:p w14:paraId="3509D177">
      <w:pPr>
        <w:jc w:val="center"/>
        <w:rPr>
          <w:rFonts w:ascii="Times New Roman" w:hAnsi="Times New Roman" w:cs="Times New Roman"/>
          <w:color w:val="auto"/>
        </w:rPr>
      </w:pPr>
      <w:r>
        <w:rPr>
          <w:rFonts w:ascii="Times New Roman" w:hAnsi="Times New Roman" w:cs="Times New Roman"/>
          <w:color w:val="auto"/>
        </w:rPr>
        <w:drawing>
          <wp:inline distT="0" distB="0" distL="114300" distR="114300">
            <wp:extent cx="3507740" cy="2406650"/>
            <wp:effectExtent l="0" t="0" r="0" b="1270"/>
            <wp:docPr id="4" name="图片 4"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1"/>
                    <pic:cNvPicPr>
                      <a:picLocks noChangeAspect="1"/>
                    </pic:cNvPicPr>
                  </pic:nvPicPr>
                  <pic:blipFill>
                    <a:blip r:embed="rId7"/>
                    <a:stretch>
                      <a:fillRect/>
                    </a:stretch>
                  </pic:blipFill>
                  <pic:spPr>
                    <a:xfrm>
                      <a:off x="0" y="0"/>
                      <a:ext cx="3507740" cy="2406650"/>
                    </a:xfrm>
                    <a:prstGeom prst="rect">
                      <a:avLst/>
                    </a:prstGeom>
                  </pic:spPr>
                </pic:pic>
              </a:graphicData>
            </a:graphic>
          </wp:inline>
        </w:drawing>
      </w:r>
    </w:p>
    <w:p w14:paraId="68EC7846">
      <w:pPr>
        <w:rPr>
          <w:rFonts w:ascii="Times New Roman" w:hAnsi="Times New Roman" w:cs="Times New Roman"/>
          <w:b/>
          <w:bCs/>
          <w:color w:val="auto"/>
        </w:rPr>
      </w:pPr>
      <w:r>
        <w:rPr>
          <w:rFonts w:ascii="Times New Roman" w:hAnsi="Times New Roman" w:cs="Times New Roman"/>
          <w:b/>
          <w:bCs/>
          <w:color w:val="auto"/>
        </w:rPr>
        <w:t>Fig. S</w:t>
      </w:r>
      <w:r>
        <w:rPr>
          <w:rFonts w:hint="eastAsia" w:ascii="Times New Roman" w:hAnsi="Times New Roman" w:cs="Times New Roman"/>
          <w:b/>
          <w:bCs/>
          <w:color w:val="auto"/>
        </w:rPr>
        <w:t>3</w:t>
      </w:r>
      <w:r>
        <w:rPr>
          <w:rFonts w:ascii="Times New Roman" w:hAnsi="Times New Roman" w:cs="Times New Roman"/>
          <w:b/>
          <w:bCs/>
          <w:color w:val="auto"/>
        </w:rPr>
        <w:t xml:space="preserve"> Using the classic framework of “engine” on leaf functional traits (leaf N, P，or N:P）to predict the productivity of natural communities on the </w:t>
      </w:r>
      <w:r>
        <w:rPr>
          <w:rFonts w:ascii="Times New Roman" w:hAnsi="Times New Roman" w:eastAsia="宋体" w:cs="Times New Roman"/>
          <w:b/>
          <w:bCs/>
          <w:color w:val="auto"/>
          <w:kern w:val="0"/>
        </w:rPr>
        <w:t>Tibetan Plateau</w:t>
      </w:r>
      <w:r>
        <w:rPr>
          <w:rFonts w:ascii="Times New Roman" w:hAnsi="Times New Roman" w:cs="Times New Roman"/>
          <w:b/>
          <w:bCs/>
          <w:color w:val="auto"/>
        </w:rPr>
        <w:t>.</w:t>
      </w:r>
      <w:r>
        <w:rPr>
          <w:rFonts w:hint="eastAsia" w:ascii="Times New Roman" w:hAnsi="Times New Roman" w:cs="Times New Roman"/>
          <w:b/>
          <w:bCs/>
          <w:color w:val="auto"/>
        </w:rPr>
        <w:t xml:space="preserve"> </w:t>
      </w:r>
    </w:p>
    <w:p w14:paraId="6E35390A">
      <w:pPr>
        <w:rPr>
          <w:rFonts w:ascii="Times New Roman" w:hAnsi="Times New Roman" w:cs="Times New Roman"/>
          <w:color w:val="auto"/>
        </w:rPr>
      </w:pPr>
      <w:r>
        <w:rPr>
          <w:rFonts w:ascii="Times New Roman" w:hAnsi="Times New Roman" w:cs="Times New Roman"/>
          <w:color w:val="auto"/>
        </w:rPr>
        <w:br w:type="page"/>
      </w:r>
    </w:p>
    <w:p w14:paraId="50088C51">
      <w:pPr>
        <w:jc w:val="center"/>
        <w:rPr>
          <w:color w:val="auto"/>
        </w:rPr>
      </w:pPr>
      <w:r>
        <w:rPr>
          <w:color w:val="auto"/>
        </w:rPr>
        <w:drawing>
          <wp:inline distT="0" distB="0" distL="114300" distR="114300">
            <wp:extent cx="4764405" cy="3167380"/>
            <wp:effectExtent l="0" t="0" r="6985"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8"/>
                    <a:stretch>
                      <a:fillRect/>
                    </a:stretch>
                  </pic:blipFill>
                  <pic:spPr>
                    <a:xfrm>
                      <a:off x="0" y="0"/>
                      <a:ext cx="4764405" cy="3167380"/>
                    </a:xfrm>
                    <a:prstGeom prst="rect">
                      <a:avLst/>
                    </a:prstGeom>
                    <a:noFill/>
                    <a:ln>
                      <a:noFill/>
                    </a:ln>
                  </pic:spPr>
                </pic:pic>
              </a:graphicData>
            </a:graphic>
          </wp:inline>
        </w:drawing>
      </w:r>
    </w:p>
    <w:p w14:paraId="102E162F">
      <w:pPr>
        <w:jc w:val="center"/>
        <w:rPr>
          <w:rFonts w:ascii="Times New Roman" w:hAnsi="Times New Roman" w:cs="Times New Roman"/>
          <w:b/>
          <w:bCs/>
          <w:color w:val="auto"/>
        </w:rPr>
      </w:pPr>
      <w:r>
        <w:rPr>
          <w:rFonts w:ascii="Times New Roman" w:hAnsi="Times New Roman" w:cs="Times New Roman"/>
          <w:b/>
          <w:bCs/>
          <w:color w:val="auto"/>
        </w:rPr>
        <w:t>Fig. S</w:t>
      </w:r>
      <w:r>
        <w:rPr>
          <w:rFonts w:hint="eastAsia" w:ascii="Times New Roman" w:hAnsi="Times New Roman" w:cs="Times New Roman"/>
          <w:b/>
          <w:bCs/>
          <w:color w:val="auto"/>
        </w:rPr>
        <w:t xml:space="preserve">4 The impact of environmental factors on </w:t>
      </w:r>
      <w:r>
        <w:rPr>
          <w:rFonts w:ascii="Times New Roman" w:hAnsi="Times New Roman" w:cs="Times New Roman"/>
          <w:b/>
          <w:bCs/>
          <w:color w:val="auto"/>
        </w:rPr>
        <w:t>plant</w:t>
      </w:r>
      <w:r>
        <w:rPr>
          <w:rFonts w:hint="eastAsia" w:ascii="Times New Roman" w:hAnsi="Times New Roman" w:cs="Times New Roman"/>
          <w:b/>
          <w:bCs/>
          <w:color w:val="auto"/>
        </w:rPr>
        <w:t xml:space="preserve"> </w:t>
      </w:r>
      <w:r>
        <w:rPr>
          <w:rFonts w:ascii="Times New Roman" w:hAnsi="Times New Roman" w:cs="Times New Roman"/>
          <w:b/>
          <w:bCs/>
          <w:color w:val="auto"/>
        </w:rPr>
        <w:t>productivity.</w:t>
      </w:r>
    </w:p>
    <w:p w14:paraId="21507951">
      <w:pPr>
        <w:rPr>
          <w:rFonts w:ascii="Times New Roman" w:hAnsi="Times New Roman" w:cs="Times New Roman"/>
          <w:b/>
          <w:bCs/>
          <w:color w:val="auto"/>
        </w:rPr>
      </w:pPr>
      <w:r>
        <w:rPr>
          <w:rFonts w:ascii="Times New Roman" w:hAnsi="Times New Roman" w:cs="Times New Roman"/>
          <w:b/>
          <w:bCs/>
          <w:color w:val="auto"/>
        </w:rPr>
        <w:br w:type="page"/>
      </w:r>
    </w:p>
    <w:p w14:paraId="08CD31D8">
      <w:pPr>
        <w:jc w:val="center"/>
        <w:rPr>
          <w:rFonts w:ascii="Times New Roman" w:hAnsi="Times New Roman" w:cs="Times New Roman"/>
          <w:color w:val="auto"/>
        </w:rPr>
      </w:pPr>
      <w:r>
        <w:rPr>
          <w:rFonts w:ascii="Times New Roman" w:hAnsi="Times New Roman" w:cs="Times New Roman"/>
          <w:color w:val="auto"/>
        </w:rPr>
        <w:drawing>
          <wp:inline distT="0" distB="0" distL="0" distR="0">
            <wp:extent cx="4752340" cy="3566795"/>
            <wp:effectExtent l="0" t="0" r="8255" b="635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756132" cy="3569328"/>
                    </a:xfrm>
                    <a:prstGeom prst="rect">
                      <a:avLst/>
                    </a:prstGeom>
                    <a:noFill/>
                    <a:ln>
                      <a:noFill/>
                    </a:ln>
                  </pic:spPr>
                </pic:pic>
              </a:graphicData>
            </a:graphic>
          </wp:inline>
        </w:drawing>
      </w:r>
    </w:p>
    <w:p w14:paraId="2E658D49">
      <w:pPr>
        <w:jc w:val="both"/>
        <w:rPr>
          <w:rFonts w:ascii="Times New Roman" w:hAnsi="Times New Roman" w:cs="Times New Roman"/>
          <w:color w:val="auto"/>
        </w:rPr>
      </w:pPr>
      <w:r>
        <w:rPr>
          <w:rFonts w:ascii="Times New Roman" w:hAnsi="Times New Roman" w:cs="Times New Roman"/>
          <w:b/>
          <w:bCs/>
          <w:color w:val="auto"/>
        </w:rPr>
        <w:t>Fig. S</w:t>
      </w:r>
      <w:r>
        <w:rPr>
          <w:rFonts w:hint="eastAsia" w:ascii="Times New Roman" w:hAnsi="Times New Roman" w:cs="Times New Roman"/>
          <w:b/>
          <w:bCs/>
          <w:color w:val="auto"/>
        </w:rPr>
        <w:t>5</w:t>
      </w:r>
      <w:r>
        <w:rPr>
          <w:rFonts w:ascii="Times New Roman" w:hAnsi="Times New Roman" w:cs="Times New Roman"/>
          <w:b/>
          <w:bCs/>
          <w:color w:val="auto"/>
        </w:rPr>
        <w:t xml:space="preserve"> Nitrogen and phosphorus should be the pivotal limiting nutrients in most of terrestrial ecosystems, exerting substantial influence on plant</w:t>
      </w:r>
      <w:r>
        <w:rPr>
          <w:rFonts w:hint="eastAsia" w:ascii="Times New Roman" w:hAnsi="Times New Roman" w:cs="Times New Roman"/>
          <w:b/>
          <w:bCs/>
          <w:color w:val="auto"/>
        </w:rPr>
        <w:t xml:space="preserve"> </w:t>
      </w:r>
      <w:r>
        <w:rPr>
          <w:rFonts w:ascii="Times New Roman" w:hAnsi="Times New Roman" w:cs="Times New Roman"/>
          <w:b/>
          <w:bCs/>
          <w:color w:val="auto"/>
        </w:rPr>
        <w:t>productivity.</w:t>
      </w:r>
      <w:r>
        <w:rPr>
          <w:rFonts w:hint="eastAsia" w:ascii="Times New Roman" w:hAnsi="Times New Roman" w:cs="Times New Roman"/>
          <w:b/>
          <w:bCs/>
          <w:color w:val="auto"/>
        </w:rPr>
        <w:t xml:space="preserve"> </w:t>
      </w:r>
      <w:r>
        <w:rPr>
          <w:rFonts w:hint="eastAsia" w:ascii="Times New Roman" w:hAnsi="Times New Roman" w:cs="Times New Roman"/>
          <w:color w:val="auto"/>
        </w:rPr>
        <w:t>Nitrogen and phosphorus in plants are mainly absorbed from the soil through the root system and eventually become important components of plant nucleic acids, amino acids, etc., Plants acquire essential nutrients through both direct and indirect pathways. In the direct uptake mechanism, root epidermal cells absorb nitrogen (N) and phosphorus (P) directly from the soil. Conversely, the microbe-dependent pathway comprises several mechanisms. For instance, many plants form symbiotic associations with arbuscular mycorrhizal (AM) fungi, which extend their nutrient foraging range via the mycorrhizal/symbiotic pathway. Additionally, a portion of the carbon (C) fixed through photosynthesis is exuded by roots into the rhizosphere, serving to attract specialized microbial communities that collaboratively facilitate the mobilization and uptake of N and P. Moreover, legumes develop nodule symbioses with rhizobia, enabling them to fix atmospheric nitrogen (N₂) directly.</w:t>
      </w:r>
    </w:p>
    <w:p w14:paraId="6678024B">
      <w:pPr>
        <w:jc w:val="both"/>
        <w:rPr>
          <w:rFonts w:ascii="Times New Roman" w:hAnsi="Times New Roman" w:cs="Times New Roman"/>
          <w:color w:val="auto"/>
        </w:rPr>
      </w:pPr>
      <w:r>
        <w:rPr>
          <w:rFonts w:hint="eastAsia" w:ascii="Times New Roman" w:hAnsi="Times New Roman" w:cs="Times New Roman"/>
          <w:color w:val="auto"/>
        </w:rPr>
        <w:t xml:space="preserve">Abbreviations: C, carbon; LMWOA, low-molecular-weight organic acid; Ni, inorganic nitrogen; No, organic nitrogen; Pi, inorganic phosphorus; Po, organic phosphorus. Figure adapted from Zhao et al., (2023). </w:t>
      </w:r>
    </w:p>
    <w:p w14:paraId="12FF7228">
      <w:pPr>
        <w:rPr>
          <w:color w:val="auto"/>
        </w:rPr>
      </w:pPr>
    </w:p>
    <w:p w14:paraId="5AAF4F3C">
      <w:pPr>
        <w:rPr>
          <w:color w:val="auto"/>
        </w:rPr>
      </w:pPr>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959138"/>
    <w:multiLevelType w:val="multilevel"/>
    <w:tmpl w:val="8795913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92A5501E"/>
    <w:multiLevelType w:val="multilevel"/>
    <w:tmpl w:val="92A5501E"/>
    <w:lvl w:ilvl="0" w:tentative="0">
      <w:start w:val="1"/>
      <w:numFmt w:val="bullet"/>
      <w:lvlText w:val=""/>
      <w:lvlJc w:val="left"/>
      <w:pPr>
        <w:ind w:left="860" w:hanging="440"/>
      </w:pPr>
      <w:rPr>
        <w:rFonts w:hint="default" w:ascii="Wingdings" w:hAnsi="Wingdings" w:cs="Wingdings"/>
      </w:rPr>
    </w:lvl>
    <w:lvl w:ilvl="1" w:tentative="0">
      <w:start w:val="1"/>
      <w:numFmt w:val="bullet"/>
      <w:lvlText w:val=""/>
      <w:lvlJc w:val="left"/>
      <w:pPr>
        <w:ind w:left="1300" w:hanging="440"/>
      </w:pPr>
      <w:rPr>
        <w:rFonts w:hint="default" w:ascii="Wingdings" w:hAnsi="Wingdings" w:cs="Wingdings"/>
      </w:rPr>
    </w:lvl>
    <w:lvl w:ilvl="2" w:tentative="0">
      <w:start w:val="1"/>
      <w:numFmt w:val="bullet"/>
      <w:lvlText w:val=""/>
      <w:lvlJc w:val="left"/>
      <w:pPr>
        <w:ind w:left="1740" w:hanging="440"/>
      </w:pPr>
      <w:rPr>
        <w:rFonts w:hint="default" w:ascii="Wingdings" w:hAnsi="Wingdings" w:cs="Wingdings"/>
      </w:rPr>
    </w:lvl>
    <w:lvl w:ilvl="3" w:tentative="0">
      <w:start w:val="1"/>
      <w:numFmt w:val="bullet"/>
      <w:lvlText w:val=""/>
      <w:lvlJc w:val="left"/>
      <w:pPr>
        <w:ind w:left="2180" w:hanging="440"/>
      </w:pPr>
      <w:rPr>
        <w:rFonts w:hint="default" w:ascii="Wingdings" w:hAnsi="Wingdings" w:cs="Wingdings"/>
      </w:rPr>
    </w:lvl>
    <w:lvl w:ilvl="4" w:tentative="0">
      <w:start w:val="1"/>
      <w:numFmt w:val="bullet"/>
      <w:lvlText w:val=""/>
      <w:lvlJc w:val="left"/>
      <w:pPr>
        <w:ind w:left="2620" w:hanging="440"/>
      </w:pPr>
      <w:rPr>
        <w:rFonts w:hint="default" w:ascii="Wingdings" w:hAnsi="Wingdings" w:cs="Wingdings"/>
      </w:rPr>
    </w:lvl>
    <w:lvl w:ilvl="5" w:tentative="0">
      <w:start w:val="1"/>
      <w:numFmt w:val="bullet"/>
      <w:lvlText w:val=""/>
      <w:lvlJc w:val="left"/>
      <w:pPr>
        <w:ind w:left="3060" w:hanging="440"/>
      </w:pPr>
      <w:rPr>
        <w:rFonts w:hint="default" w:ascii="Wingdings" w:hAnsi="Wingdings" w:cs="Wingdings"/>
      </w:rPr>
    </w:lvl>
    <w:lvl w:ilvl="6" w:tentative="0">
      <w:start w:val="1"/>
      <w:numFmt w:val="bullet"/>
      <w:lvlText w:val=""/>
      <w:lvlJc w:val="left"/>
      <w:pPr>
        <w:ind w:left="3500" w:hanging="440"/>
      </w:pPr>
      <w:rPr>
        <w:rFonts w:hint="default" w:ascii="Wingdings" w:hAnsi="Wingdings" w:cs="Wingdings"/>
      </w:rPr>
    </w:lvl>
    <w:lvl w:ilvl="7" w:tentative="0">
      <w:start w:val="1"/>
      <w:numFmt w:val="bullet"/>
      <w:lvlText w:val=""/>
      <w:lvlJc w:val="left"/>
      <w:pPr>
        <w:ind w:left="3940" w:hanging="440"/>
      </w:pPr>
      <w:rPr>
        <w:rFonts w:hint="default" w:ascii="Wingdings" w:hAnsi="Wingdings" w:cs="Wingdings"/>
      </w:rPr>
    </w:lvl>
    <w:lvl w:ilvl="8" w:tentative="0">
      <w:start w:val="1"/>
      <w:numFmt w:val="bullet"/>
      <w:lvlText w:val=""/>
      <w:lvlJc w:val="left"/>
      <w:pPr>
        <w:ind w:left="4380" w:hanging="440"/>
      </w:pPr>
      <w:rPr>
        <w:rFonts w:hint="default" w:ascii="Wingdings" w:hAnsi="Wingdings" w:cs="Wingdings"/>
      </w:rPr>
    </w:lvl>
  </w:abstractNum>
  <w:abstractNum w:abstractNumId="2">
    <w:nsid w:val="980F5C8A"/>
    <w:multiLevelType w:val="multilevel"/>
    <w:tmpl w:val="980F5C8A"/>
    <w:lvl w:ilvl="0" w:tentative="0">
      <w:start w:val="1"/>
      <w:numFmt w:val="bullet"/>
      <w:lvlText w:val=""/>
      <w:lvlJc w:val="left"/>
      <w:pPr>
        <w:ind w:left="860" w:hanging="440"/>
      </w:pPr>
      <w:rPr>
        <w:rFonts w:hint="default" w:ascii="Wingdings" w:hAnsi="Wingdings" w:cs="Wingdings"/>
      </w:rPr>
    </w:lvl>
    <w:lvl w:ilvl="1" w:tentative="0">
      <w:start w:val="1"/>
      <w:numFmt w:val="bullet"/>
      <w:lvlText w:val=""/>
      <w:lvlJc w:val="left"/>
      <w:pPr>
        <w:ind w:left="1300" w:hanging="440"/>
      </w:pPr>
      <w:rPr>
        <w:rFonts w:hint="default" w:ascii="Wingdings" w:hAnsi="Wingdings" w:cs="Wingdings"/>
      </w:rPr>
    </w:lvl>
    <w:lvl w:ilvl="2" w:tentative="0">
      <w:start w:val="1"/>
      <w:numFmt w:val="bullet"/>
      <w:lvlText w:val=""/>
      <w:lvlJc w:val="left"/>
      <w:pPr>
        <w:ind w:left="1740" w:hanging="440"/>
      </w:pPr>
      <w:rPr>
        <w:rFonts w:hint="default" w:ascii="Wingdings" w:hAnsi="Wingdings" w:cs="Wingdings"/>
      </w:rPr>
    </w:lvl>
    <w:lvl w:ilvl="3" w:tentative="0">
      <w:start w:val="1"/>
      <w:numFmt w:val="bullet"/>
      <w:lvlText w:val=""/>
      <w:lvlJc w:val="left"/>
      <w:pPr>
        <w:ind w:left="2180" w:hanging="440"/>
      </w:pPr>
      <w:rPr>
        <w:rFonts w:hint="default" w:ascii="Wingdings" w:hAnsi="Wingdings" w:cs="Wingdings"/>
      </w:rPr>
    </w:lvl>
    <w:lvl w:ilvl="4" w:tentative="0">
      <w:start w:val="1"/>
      <w:numFmt w:val="bullet"/>
      <w:lvlText w:val=""/>
      <w:lvlJc w:val="left"/>
      <w:pPr>
        <w:ind w:left="2620" w:hanging="440"/>
      </w:pPr>
      <w:rPr>
        <w:rFonts w:hint="default" w:ascii="Wingdings" w:hAnsi="Wingdings" w:cs="Wingdings"/>
      </w:rPr>
    </w:lvl>
    <w:lvl w:ilvl="5" w:tentative="0">
      <w:start w:val="1"/>
      <w:numFmt w:val="bullet"/>
      <w:lvlText w:val=""/>
      <w:lvlJc w:val="left"/>
      <w:pPr>
        <w:ind w:left="3060" w:hanging="440"/>
      </w:pPr>
      <w:rPr>
        <w:rFonts w:hint="default" w:ascii="Wingdings" w:hAnsi="Wingdings" w:cs="Wingdings"/>
      </w:rPr>
    </w:lvl>
    <w:lvl w:ilvl="6" w:tentative="0">
      <w:start w:val="1"/>
      <w:numFmt w:val="bullet"/>
      <w:lvlText w:val=""/>
      <w:lvlJc w:val="left"/>
      <w:pPr>
        <w:ind w:left="3500" w:hanging="440"/>
      </w:pPr>
      <w:rPr>
        <w:rFonts w:hint="default" w:ascii="Wingdings" w:hAnsi="Wingdings" w:cs="Wingdings"/>
      </w:rPr>
    </w:lvl>
    <w:lvl w:ilvl="7" w:tentative="0">
      <w:start w:val="1"/>
      <w:numFmt w:val="bullet"/>
      <w:lvlText w:val=""/>
      <w:lvlJc w:val="left"/>
      <w:pPr>
        <w:ind w:left="3940" w:hanging="440"/>
      </w:pPr>
      <w:rPr>
        <w:rFonts w:hint="default" w:ascii="Wingdings" w:hAnsi="Wingdings" w:cs="Wingdings"/>
      </w:rPr>
    </w:lvl>
    <w:lvl w:ilvl="8" w:tentative="0">
      <w:start w:val="1"/>
      <w:numFmt w:val="bullet"/>
      <w:lvlText w:val=""/>
      <w:lvlJc w:val="left"/>
      <w:pPr>
        <w:ind w:left="4380" w:hanging="440"/>
      </w:pPr>
      <w:rPr>
        <w:rFonts w:hint="default" w:ascii="Wingdings" w:hAnsi="Wingdings" w:cs="Wingdings"/>
      </w:rPr>
    </w:lvl>
  </w:abstractNum>
  <w:abstractNum w:abstractNumId="3">
    <w:nsid w:val="B2CE77A3"/>
    <w:multiLevelType w:val="multilevel"/>
    <w:tmpl w:val="B2CE77A3"/>
    <w:lvl w:ilvl="0" w:tentative="0">
      <w:start w:val="1"/>
      <w:numFmt w:val="bullet"/>
      <w:lvlText w:val=""/>
      <w:lvlJc w:val="left"/>
      <w:pPr>
        <w:ind w:left="860" w:hanging="440"/>
      </w:pPr>
      <w:rPr>
        <w:rFonts w:hint="default" w:ascii="Wingdings" w:hAnsi="Wingdings" w:cs="Wingdings"/>
      </w:rPr>
    </w:lvl>
    <w:lvl w:ilvl="1" w:tentative="0">
      <w:start w:val="1"/>
      <w:numFmt w:val="bullet"/>
      <w:lvlText w:val=""/>
      <w:lvlJc w:val="left"/>
      <w:pPr>
        <w:ind w:left="1300" w:hanging="440"/>
      </w:pPr>
      <w:rPr>
        <w:rFonts w:hint="default" w:ascii="Wingdings" w:hAnsi="Wingdings" w:cs="Wingdings"/>
      </w:rPr>
    </w:lvl>
    <w:lvl w:ilvl="2" w:tentative="0">
      <w:start w:val="1"/>
      <w:numFmt w:val="bullet"/>
      <w:lvlText w:val=""/>
      <w:lvlJc w:val="left"/>
      <w:pPr>
        <w:ind w:left="1740" w:hanging="440"/>
      </w:pPr>
      <w:rPr>
        <w:rFonts w:hint="default" w:ascii="Wingdings" w:hAnsi="Wingdings" w:cs="Wingdings"/>
      </w:rPr>
    </w:lvl>
    <w:lvl w:ilvl="3" w:tentative="0">
      <w:start w:val="1"/>
      <w:numFmt w:val="bullet"/>
      <w:lvlText w:val=""/>
      <w:lvlJc w:val="left"/>
      <w:pPr>
        <w:ind w:left="2180" w:hanging="440"/>
      </w:pPr>
      <w:rPr>
        <w:rFonts w:hint="default" w:ascii="Wingdings" w:hAnsi="Wingdings" w:cs="Wingdings"/>
      </w:rPr>
    </w:lvl>
    <w:lvl w:ilvl="4" w:tentative="0">
      <w:start w:val="1"/>
      <w:numFmt w:val="bullet"/>
      <w:lvlText w:val=""/>
      <w:lvlJc w:val="left"/>
      <w:pPr>
        <w:ind w:left="2620" w:hanging="440"/>
      </w:pPr>
      <w:rPr>
        <w:rFonts w:hint="default" w:ascii="Wingdings" w:hAnsi="Wingdings" w:cs="Wingdings"/>
      </w:rPr>
    </w:lvl>
    <w:lvl w:ilvl="5" w:tentative="0">
      <w:start w:val="1"/>
      <w:numFmt w:val="bullet"/>
      <w:lvlText w:val=""/>
      <w:lvlJc w:val="left"/>
      <w:pPr>
        <w:ind w:left="3060" w:hanging="440"/>
      </w:pPr>
      <w:rPr>
        <w:rFonts w:hint="default" w:ascii="Wingdings" w:hAnsi="Wingdings" w:cs="Wingdings"/>
      </w:rPr>
    </w:lvl>
    <w:lvl w:ilvl="6" w:tentative="0">
      <w:start w:val="1"/>
      <w:numFmt w:val="bullet"/>
      <w:lvlText w:val=""/>
      <w:lvlJc w:val="left"/>
      <w:pPr>
        <w:ind w:left="3500" w:hanging="440"/>
      </w:pPr>
      <w:rPr>
        <w:rFonts w:hint="default" w:ascii="Wingdings" w:hAnsi="Wingdings" w:cs="Wingdings"/>
      </w:rPr>
    </w:lvl>
    <w:lvl w:ilvl="7" w:tentative="0">
      <w:start w:val="1"/>
      <w:numFmt w:val="bullet"/>
      <w:lvlText w:val=""/>
      <w:lvlJc w:val="left"/>
      <w:pPr>
        <w:ind w:left="3940" w:hanging="440"/>
      </w:pPr>
      <w:rPr>
        <w:rFonts w:hint="default" w:ascii="Wingdings" w:hAnsi="Wingdings" w:cs="Wingdings"/>
      </w:rPr>
    </w:lvl>
    <w:lvl w:ilvl="8" w:tentative="0">
      <w:start w:val="1"/>
      <w:numFmt w:val="bullet"/>
      <w:lvlText w:val=""/>
      <w:lvlJc w:val="left"/>
      <w:pPr>
        <w:ind w:left="4380" w:hanging="440"/>
      </w:pPr>
      <w:rPr>
        <w:rFonts w:hint="default" w:ascii="Wingdings" w:hAnsi="Wingdings" w:cs="Wingdings"/>
      </w:rPr>
    </w:lvl>
  </w:abstractNum>
  <w:abstractNum w:abstractNumId="4">
    <w:nsid w:val="048005D7"/>
    <w:multiLevelType w:val="multilevel"/>
    <w:tmpl w:val="048005D7"/>
    <w:lvl w:ilvl="0" w:tentative="0">
      <w:start w:val="1"/>
      <w:numFmt w:val="bullet"/>
      <w:lvlText w:val=""/>
      <w:lvlJc w:val="left"/>
      <w:pPr>
        <w:ind w:left="860" w:hanging="440"/>
      </w:pPr>
      <w:rPr>
        <w:rFonts w:hint="default" w:ascii="Wingdings" w:hAnsi="Wingdings" w:cs="Wingdings"/>
      </w:rPr>
    </w:lvl>
    <w:lvl w:ilvl="1" w:tentative="0">
      <w:start w:val="1"/>
      <w:numFmt w:val="bullet"/>
      <w:lvlText w:val=""/>
      <w:lvlJc w:val="left"/>
      <w:pPr>
        <w:ind w:left="1300" w:hanging="440"/>
      </w:pPr>
      <w:rPr>
        <w:rFonts w:hint="default" w:ascii="Wingdings" w:hAnsi="Wingdings" w:cs="Wingdings"/>
      </w:rPr>
    </w:lvl>
    <w:lvl w:ilvl="2" w:tentative="0">
      <w:start w:val="1"/>
      <w:numFmt w:val="bullet"/>
      <w:lvlText w:val=""/>
      <w:lvlJc w:val="left"/>
      <w:pPr>
        <w:ind w:left="1740" w:hanging="440"/>
      </w:pPr>
      <w:rPr>
        <w:rFonts w:hint="default" w:ascii="Wingdings" w:hAnsi="Wingdings" w:cs="Wingdings"/>
      </w:rPr>
    </w:lvl>
    <w:lvl w:ilvl="3" w:tentative="0">
      <w:start w:val="1"/>
      <w:numFmt w:val="bullet"/>
      <w:lvlText w:val=""/>
      <w:lvlJc w:val="left"/>
      <w:pPr>
        <w:ind w:left="2180" w:hanging="440"/>
      </w:pPr>
      <w:rPr>
        <w:rFonts w:hint="default" w:ascii="Wingdings" w:hAnsi="Wingdings" w:cs="Wingdings"/>
      </w:rPr>
    </w:lvl>
    <w:lvl w:ilvl="4" w:tentative="0">
      <w:start w:val="1"/>
      <w:numFmt w:val="bullet"/>
      <w:lvlText w:val=""/>
      <w:lvlJc w:val="left"/>
      <w:pPr>
        <w:ind w:left="2620" w:hanging="440"/>
      </w:pPr>
      <w:rPr>
        <w:rFonts w:hint="default" w:ascii="Wingdings" w:hAnsi="Wingdings" w:cs="Wingdings"/>
      </w:rPr>
    </w:lvl>
    <w:lvl w:ilvl="5" w:tentative="0">
      <w:start w:val="1"/>
      <w:numFmt w:val="bullet"/>
      <w:lvlText w:val=""/>
      <w:lvlJc w:val="left"/>
      <w:pPr>
        <w:ind w:left="3060" w:hanging="440"/>
      </w:pPr>
      <w:rPr>
        <w:rFonts w:hint="default" w:ascii="Wingdings" w:hAnsi="Wingdings" w:cs="Wingdings"/>
      </w:rPr>
    </w:lvl>
    <w:lvl w:ilvl="6" w:tentative="0">
      <w:start w:val="1"/>
      <w:numFmt w:val="bullet"/>
      <w:lvlText w:val=""/>
      <w:lvlJc w:val="left"/>
      <w:pPr>
        <w:ind w:left="3500" w:hanging="440"/>
      </w:pPr>
      <w:rPr>
        <w:rFonts w:hint="default" w:ascii="Wingdings" w:hAnsi="Wingdings" w:cs="Wingdings"/>
      </w:rPr>
    </w:lvl>
    <w:lvl w:ilvl="7" w:tentative="0">
      <w:start w:val="1"/>
      <w:numFmt w:val="bullet"/>
      <w:lvlText w:val=""/>
      <w:lvlJc w:val="left"/>
      <w:pPr>
        <w:ind w:left="3940" w:hanging="440"/>
      </w:pPr>
      <w:rPr>
        <w:rFonts w:hint="default" w:ascii="Wingdings" w:hAnsi="Wingdings" w:cs="Wingdings"/>
      </w:rPr>
    </w:lvl>
    <w:lvl w:ilvl="8" w:tentative="0">
      <w:start w:val="1"/>
      <w:numFmt w:val="bullet"/>
      <w:lvlText w:val=""/>
      <w:lvlJc w:val="left"/>
      <w:pPr>
        <w:ind w:left="4380" w:hanging="440"/>
      </w:pPr>
      <w:rPr>
        <w:rFonts w:hint="default" w:ascii="Wingdings" w:hAnsi="Wingdings" w:cs="Wingdings"/>
      </w:rPr>
    </w:lvl>
  </w:abstractNum>
  <w:abstractNum w:abstractNumId="5">
    <w:nsid w:val="4298C1EB"/>
    <w:multiLevelType w:val="multilevel"/>
    <w:tmpl w:val="4298C1E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4EBE99B8"/>
    <w:multiLevelType w:val="multilevel"/>
    <w:tmpl w:val="4EBE99B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ascii="Courier New" w:hAnsi="Courier New" w:cs="Times New Roman"/>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53CC094"/>
    <w:multiLevelType w:val="multilevel"/>
    <w:tmpl w:val="653CC09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5A74AE6"/>
    <w:multiLevelType w:val="multilevel"/>
    <w:tmpl w:val="65A74AE6"/>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5"/>
  </w:num>
  <w:num w:numId="3">
    <w:abstractNumId w:val="0"/>
  </w:num>
  <w:num w:numId="4">
    <w:abstractNumId w:val="1"/>
  </w:num>
  <w:num w:numId="5">
    <w:abstractNumId w:val="8"/>
  </w:num>
  <w:num w:numId="6">
    <w:abstractNumId w:val="3"/>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3NTYwtjQwsDQwNzJV0lEKTi0uzszPAykwrAUAMDPYLiwAAAA="/>
    <w:docVar w:name="commondata" w:val="eyJoZGlkIjoiNjI3M2JiYTJkMTEzNzZkZjlmNjQ0MzE2NzZkOTE5MDYifQ=="/>
  </w:docVars>
  <w:rsids>
    <w:rsidRoot w:val="5A0547E6"/>
    <w:rsid w:val="00011C71"/>
    <w:rsid w:val="0007160A"/>
    <w:rsid w:val="000B0D07"/>
    <w:rsid w:val="000E0E04"/>
    <w:rsid w:val="00132D50"/>
    <w:rsid w:val="0014636C"/>
    <w:rsid w:val="00164056"/>
    <w:rsid w:val="001733D0"/>
    <w:rsid w:val="002868E3"/>
    <w:rsid w:val="002A5619"/>
    <w:rsid w:val="002D2F0E"/>
    <w:rsid w:val="003B6E51"/>
    <w:rsid w:val="00412657"/>
    <w:rsid w:val="00423129"/>
    <w:rsid w:val="00432CD1"/>
    <w:rsid w:val="004349C5"/>
    <w:rsid w:val="0051313E"/>
    <w:rsid w:val="00541178"/>
    <w:rsid w:val="005830A8"/>
    <w:rsid w:val="005A4728"/>
    <w:rsid w:val="00625AD4"/>
    <w:rsid w:val="0066362E"/>
    <w:rsid w:val="006E6B66"/>
    <w:rsid w:val="00753B6E"/>
    <w:rsid w:val="00760C3B"/>
    <w:rsid w:val="007A4B3B"/>
    <w:rsid w:val="00803694"/>
    <w:rsid w:val="00812611"/>
    <w:rsid w:val="00882EB4"/>
    <w:rsid w:val="008C5872"/>
    <w:rsid w:val="00935E08"/>
    <w:rsid w:val="009603F7"/>
    <w:rsid w:val="00A028AE"/>
    <w:rsid w:val="00A42B56"/>
    <w:rsid w:val="00A75543"/>
    <w:rsid w:val="00A7569F"/>
    <w:rsid w:val="00B045A3"/>
    <w:rsid w:val="00B20D05"/>
    <w:rsid w:val="00B31891"/>
    <w:rsid w:val="00BE6B69"/>
    <w:rsid w:val="00BF065F"/>
    <w:rsid w:val="00C03CFD"/>
    <w:rsid w:val="00C364C8"/>
    <w:rsid w:val="00D332C0"/>
    <w:rsid w:val="00D56B8C"/>
    <w:rsid w:val="00D6547C"/>
    <w:rsid w:val="00DF39CC"/>
    <w:rsid w:val="00E21F56"/>
    <w:rsid w:val="00E36FFE"/>
    <w:rsid w:val="00E374ED"/>
    <w:rsid w:val="00E55B76"/>
    <w:rsid w:val="00E8442F"/>
    <w:rsid w:val="00EE232D"/>
    <w:rsid w:val="00EE54CD"/>
    <w:rsid w:val="00FD2FBF"/>
    <w:rsid w:val="031A5D94"/>
    <w:rsid w:val="03394391"/>
    <w:rsid w:val="05681080"/>
    <w:rsid w:val="06B121E8"/>
    <w:rsid w:val="0AE57E5E"/>
    <w:rsid w:val="0B7E220D"/>
    <w:rsid w:val="0BB43482"/>
    <w:rsid w:val="0FE2499B"/>
    <w:rsid w:val="11EB209C"/>
    <w:rsid w:val="174508C9"/>
    <w:rsid w:val="19107F9C"/>
    <w:rsid w:val="1A35698F"/>
    <w:rsid w:val="20386538"/>
    <w:rsid w:val="23D86F17"/>
    <w:rsid w:val="240C6698"/>
    <w:rsid w:val="256B7643"/>
    <w:rsid w:val="2DD676BD"/>
    <w:rsid w:val="31492E68"/>
    <w:rsid w:val="354F58D3"/>
    <w:rsid w:val="37B2123D"/>
    <w:rsid w:val="40DC68A2"/>
    <w:rsid w:val="41603AB2"/>
    <w:rsid w:val="418A0AB6"/>
    <w:rsid w:val="42425B64"/>
    <w:rsid w:val="43E32735"/>
    <w:rsid w:val="45E53327"/>
    <w:rsid w:val="49977990"/>
    <w:rsid w:val="4B880335"/>
    <w:rsid w:val="4FDB78ED"/>
    <w:rsid w:val="55423191"/>
    <w:rsid w:val="575F3696"/>
    <w:rsid w:val="5A0547E6"/>
    <w:rsid w:val="5C1132FA"/>
    <w:rsid w:val="60F5000B"/>
    <w:rsid w:val="61566053"/>
    <w:rsid w:val="61782200"/>
    <w:rsid w:val="622263B3"/>
    <w:rsid w:val="6920019D"/>
    <w:rsid w:val="697D67E7"/>
    <w:rsid w:val="6D647013"/>
    <w:rsid w:val="712F16BF"/>
    <w:rsid w:val="732B6990"/>
    <w:rsid w:val="76204564"/>
    <w:rsid w:val="7ABB2ABD"/>
    <w:rsid w:val="7CBD7904"/>
    <w:rsid w:val="7EF51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annotation text"/>
    <w:basedOn w:val="1"/>
    <w:link w:val="26"/>
    <w:autoRedefine/>
    <w:qFormat/>
    <w:uiPriority w:val="0"/>
  </w:style>
  <w:style w:type="paragraph" w:styleId="4">
    <w:name w:val="footer"/>
    <w:basedOn w:val="1"/>
    <w:link w:val="14"/>
    <w:autoRedefine/>
    <w:qFormat/>
    <w:uiPriority w:val="0"/>
    <w:pPr>
      <w:tabs>
        <w:tab w:val="center" w:pos="4153"/>
        <w:tab w:val="right" w:pos="8306"/>
      </w:tabs>
      <w:snapToGrid w:val="0"/>
    </w:pPr>
    <w:rPr>
      <w:sz w:val="18"/>
      <w:szCs w:val="18"/>
    </w:rPr>
  </w:style>
  <w:style w:type="paragraph" w:styleId="5">
    <w:name w:val="header"/>
    <w:basedOn w:val="1"/>
    <w:link w:val="13"/>
    <w:autoRedefine/>
    <w:qFormat/>
    <w:uiPriority w:val="0"/>
    <w:pPr>
      <w:tabs>
        <w:tab w:val="center" w:pos="4153"/>
        <w:tab w:val="right" w:pos="8306"/>
      </w:tabs>
      <w:snapToGrid w:val="0"/>
      <w:jc w:val="center"/>
    </w:pPr>
    <w:rPr>
      <w:sz w:val="18"/>
      <w:szCs w:val="18"/>
    </w:rPr>
  </w:style>
  <w:style w:type="paragraph" w:styleId="6">
    <w:name w:val="HTML Preformatted"/>
    <w:basedOn w:val="1"/>
    <w:link w:val="35"/>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rPr>
  </w:style>
  <w:style w:type="paragraph" w:styleId="7">
    <w:name w:val="annotation subject"/>
    <w:basedOn w:val="3"/>
    <w:next w:val="3"/>
    <w:link w:val="27"/>
    <w:qFormat/>
    <w:uiPriority w:val="0"/>
    <w:rPr>
      <w:b/>
      <w:bCs/>
      <w:sz w:val="20"/>
      <w:szCs w:val="20"/>
    </w:rPr>
  </w:style>
  <w:style w:type="character" w:styleId="10">
    <w:name w:val="annotation reference"/>
    <w:basedOn w:val="9"/>
    <w:autoRedefine/>
    <w:qFormat/>
    <w:uiPriority w:val="0"/>
    <w:rPr>
      <w:sz w:val="21"/>
      <w:szCs w:val="21"/>
    </w:rPr>
  </w:style>
  <w:style w:type="character" w:customStyle="1" w:styleId="11">
    <w:name w:val="font41"/>
    <w:basedOn w:val="9"/>
    <w:autoRedefine/>
    <w:qFormat/>
    <w:uiPriority w:val="0"/>
    <w:rPr>
      <w:rFonts w:hint="default" w:ascii="Times New Roman" w:hAnsi="Times New Roman" w:cs="Times New Roman"/>
      <w:color w:val="000000"/>
      <w:sz w:val="20"/>
      <w:szCs w:val="20"/>
      <w:u w:val="none"/>
      <w:vertAlign w:val="subscript"/>
    </w:rPr>
  </w:style>
  <w:style w:type="character" w:customStyle="1" w:styleId="12">
    <w:name w:val="font11"/>
    <w:basedOn w:val="9"/>
    <w:autoRedefine/>
    <w:qFormat/>
    <w:uiPriority w:val="0"/>
    <w:rPr>
      <w:rFonts w:hint="default" w:ascii="Times New Roman" w:hAnsi="Times New Roman" w:cs="Times New Roman"/>
      <w:b/>
      <w:bCs/>
      <w:color w:val="000000"/>
      <w:sz w:val="22"/>
      <w:szCs w:val="22"/>
      <w:u w:val="none"/>
    </w:rPr>
  </w:style>
  <w:style w:type="character" w:customStyle="1" w:styleId="13">
    <w:name w:val="页眉 字符"/>
    <w:basedOn w:val="9"/>
    <w:link w:val="5"/>
    <w:autoRedefine/>
    <w:qFormat/>
    <w:uiPriority w:val="0"/>
    <w:rPr>
      <w:rFonts w:asciiTheme="minorHAnsi" w:hAnsiTheme="minorHAnsi" w:eastAsiaTheme="minorEastAsia" w:cstheme="minorBidi"/>
      <w:kern w:val="2"/>
      <w:sz w:val="18"/>
      <w:szCs w:val="18"/>
    </w:rPr>
  </w:style>
  <w:style w:type="character" w:customStyle="1" w:styleId="14">
    <w:name w:val="页脚 字符"/>
    <w:basedOn w:val="9"/>
    <w:link w:val="4"/>
    <w:autoRedefine/>
    <w:qFormat/>
    <w:uiPriority w:val="0"/>
    <w:rPr>
      <w:rFonts w:asciiTheme="minorHAnsi" w:hAnsiTheme="minorHAnsi" w:eastAsiaTheme="minorEastAsia" w:cstheme="minorBidi"/>
      <w:kern w:val="2"/>
      <w:sz w:val="18"/>
      <w:szCs w:val="18"/>
    </w:rPr>
  </w:style>
  <w:style w:type="paragraph" w:customStyle="1" w:styleId="15">
    <w:name w:val="正文1"/>
    <w:autoRedefine/>
    <w:qFormat/>
    <w:uiPriority w:val="0"/>
    <w:pPr>
      <w:widowControl w:val="0"/>
      <w:jc w:val="both"/>
    </w:pPr>
    <w:rPr>
      <w:rFonts w:ascii="等线" w:hAnsi="等线" w:eastAsia="等线" w:cs="Times New Roman"/>
      <w:kern w:val="2"/>
      <w:sz w:val="21"/>
      <w:szCs w:val="21"/>
      <w:lang w:val="en-US" w:eastAsia="zh-CN" w:bidi="ar-SA"/>
    </w:rPr>
  </w:style>
  <w:style w:type="paragraph" w:customStyle="1" w:styleId="16">
    <w:name w:val="正文2"/>
    <w:autoRedefine/>
    <w:qFormat/>
    <w:uiPriority w:val="0"/>
    <w:pPr>
      <w:widowControl w:val="0"/>
      <w:jc w:val="both"/>
    </w:pPr>
    <w:rPr>
      <w:rFonts w:ascii="Calibri" w:hAnsi="Calibri" w:eastAsia="宋体" w:cs="Times New Roman"/>
      <w:kern w:val="2"/>
      <w:sz w:val="21"/>
      <w:szCs w:val="21"/>
      <w:lang w:val="en-US" w:eastAsia="zh-CN" w:bidi="ar-SA"/>
    </w:rPr>
  </w:style>
  <w:style w:type="character" w:customStyle="1" w:styleId="17">
    <w:name w:val="15"/>
    <w:basedOn w:val="9"/>
    <w:autoRedefine/>
    <w:qFormat/>
    <w:uiPriority w:val="0"/>
    <w:rPr>
      <w:rFonts w:hint="default" w:ascii="Times New Roman" w:hAnsi="Times New Roman" w:cs="Times New Roman"/>
      <w:b/>
      <w:bCs/>
      <w:color w:val="000000"/>
      <w:sz w:val="22"/>
      <w:szCs w:val="22"/>
    </w:rPr>
  </w:style>
  <w:style w:type="character" w:customStyle="1" w:styleId="18">
    <w:name w:val="16"/>
    <w:basedOn w:val="9"/>
    <w:autoRedefine/>
    <w:qFormat/>
    <w:uiPriority w:val="0"/>
    <w:rPr>
      <w:rFonts w:hint="default" w:ascii="Times New Roman" w:hAnsi="Times New Roman" w:cs="Times New Roman"/>
      <w:color w:val="000000"/>
      <w:sz w:val="20"/>
      <w:szCs w:val="20"/>
      <w:vertAlign w:val="subscript"/>
    </w:rPr>
  </w:style>
  <w:style w:type="paragraph" w:customStyle="1" w:styleId="19">
    <w:name w:val="Revision1"/>
    <w:autoRedefine/>
    <w:hidden/>
    <w:unhideWhenUsed/>
    <w:qFormat/>
    <w:uiPriority w:val="99"/>
    <w:rPr>
      <w:rFonts w:asciiTheme="minorHAnsi" w:hAnsiTheme="minorHAnsi" w:eastAsiaTheme="minorEastAsia" w:cstheme="minorBidi"/>
      <w:kern w:val="2"/>
      <w:sz w:val="21"/>
      <w:szCs w:val="24"/>
      <w:lang w:val="en-US" w:eastAsia="zh-CN" w:bidi="ar-SA"/>
    </w:rPr>
  </w:style>
  <w:style w:type="table" w:customStyle="1" w:styleId="20">
    <w:name w:val="Table Grid1"/>
    <w:basedOn w:val="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21">
    <w:name w:val="Table Normal1"/>
    <w:basedOn w:val="8"/>
    <w:autoRedefine/>
    <w:semiHidden/>
    <w:qFormat/>
    <w:uiPriority w:val="0"/>
  </w:style>
  <w:style w:type="paragraph" w:customStyle="1" w:styleId="22">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3">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styleId="24">
    <w:name w:val="Placeholder Text"/>
    <w:basedOn w:val="9"/>
    <w:unhideWhenUsed/>
    <w:qFormat/>
    <w:uiPriority w:val="99"/>
    <w:rPr>
      <w:color w:val="666666"/>
    </w:rPr>
  </w:style>
  <w:style w:type="paragraph" w:customStyle="1" w:styleId="25">
    <w:name w:val="Revision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文字 字符"/>
    <w:basedOn w:val="9"/>
    <w:link w:val="3"/>
    <w:qFormat/>
    <w:uiPriority w:val="0"/>
    <w:rPr>
      <w:rFonts w:asciiTheme="minorHAnsi" w:hAnsiTheme="minorHAnsi" w:eastAsiaTheme="minorEastAsia" w:cstheme="minorBidi"/>
      <w:kern w:val="2"/>
      <w:sz w:val="21"/>
      <w:szCs w:val="24"/>
      <w:lang w:val="en-US" w:eastAsia="zh-CN"/>
    </w:rPr>
  </w:style>
  <w:style w:type="character" w:customStyle="1" w:styleId="27">
    <w:name w:val="批注主题 字符"/>
    <w:basedOn w:val="26"/>
    <w:link w:val="7"/>
    <w:qFormat/>
    <w:uiPriority w:val="0"/>
    <w:rPr>
      <w:rFonts w:asciiTheme="minorHAnsi" w:hAnsiTheme="minorHAnsi" w:eastAsiaTheme="minorEastAsia" w:cstheme="minorBidi"/>
      <w:b/>
      <w:bCs/>
      <w:kern w:val="2"/>
      <w:sz w:val="21"/>
      <w:szCs w:val="24"/>
      <w:lang w:val="en-US" w:eastAsia="zh-CN"/>
    </w:rPr>
  </w:style>
  <w:style w:type="paragraph" w:customStyle="1" w:styleId="28">
    <w:name w:val="毕业 注"/>
    <w:basedOn w:val="1"/>
    <w:link w:val="29"/>
    <w:qFormat/>
    <w:uiPriority w:val="0"/>
    <w:pPr>
      <w:snapToGrid w:val="0"/>
      <w:spacing w:line="300" w:lineRule="auto"/>
      <w:ind w:left="200" w:hanging="200" w:hangingChars="200"/>
      <w:jc w:val="both"/>
    </w:pPr>
    <w:rPr>
      <w:rFonts w:ascii="Times New Roman" w:hAnsi="Times New Roman" w:eastAsia="宋体" w:cs="Times New Roman"/>
      <w:color w:val="000000"/>
      <w:kern w:val="0"/>
    </w:rPr>
  </w:style>
  <w:style w:type="character" w:customStyle="1" w:styleId="29">
    <w:name w:val="毕业 注 字符"/>
    <w:basedOn w:val="9"/>
    <w:link w:val="28"/>
    <w:qFormat/>
    <w:uiPriority w:val="0"/>
    <w:rPr>
      <w:snapToGrid/>
      <w:color w:val="000000"/>
      <w:sz w:val="21"/>
      <w:szCs w:val="24"/>
    </w:rPr>
  </w:style>
  <w:style w:type="paragraph" w:customStyle="1" w:styleId="30">
    <w:name w:val="毕业 表 中文"/>
    <w:basedOn w:val="2"/>
    <w:link w:val="31"/>
    <w:qFormat/>
    <w:uiPriority w:val="0"/>
    <w:pPr>
      <w:keepNext/>
      <w:snapToGrid w:val="0"/>
      <w:spacing w:before="120" w:line="300" w:lineRule="auto"/>
      <w:jc w:val="center"/>
    </w:pPr>
    <w:rPr>
      <w:rFonts w:ascii="Times New Roman" w:hAnsi="Times New Roman" w:eastAsia="宋体" w:cs="Times New Roman"/>
      <w:b/>
      <w:color w:val="000000"/>
      <w:kern w:val="0"/>
      <w:sz w:val="21"/>
      <w:szCs w:val="20"/>
    </w:rPr>
  </w:style>
  <w:style w:type="character" w:customStyle="1" w:styleId="31">
    <w:name w:val="毕业 表 中文 字符"/>
    <w:basedOn w:val="9"/>
    <w:link w:val="30"/>
    <w:qFormat/>
    <w:uiPriority w:val="0"/>
    <w:rPr>
      <w:rFonts w:hint="default" w:ascii="Times New Roman" w:hAnsi="Times New Roman" w:cs="Times New Roman"/>
      <w:b/>
      <w:snapToGrid/>
      <w:color w:val="000000"/>
      <w:sz w:val="21"/>
    </w:rPr>
  </w:style>
  <w:style w:type="paragraph" w:customStyle="1" w:styleId="32">
    <w:name w:val="毕业 表 英文"/>
    <w:basedOn w:val="1"/>
    <w:link w:val="33"/>
    <w:qFormat/>
    <w:uiPriority w:val="0"/>
    <w:pPr>
      <w:snapToGrid w:val="0"/>
      <w:spacing w:after="240" w:line="300" w:lineRule="auto"/>
      <w:jc w:val="center"/>
    </w:pPr>
    <w:rPr>
      <w:rFonts w:ascii="Times New Roman" w:hAnsi="Times New Roman" w:eastAsia="宋体" w:cs="Times New Roman"/>
      <w:b/>
      <w:color w:val="000000"/>
      <w:kern w:val="0"/>
    </w:rPr>
  </w:style>
  <w:style w:type="character" w:customStyle="1" w:styleId="33">
    <w:name w:val="毕业 表 英文 字符"/>
    <w:basedOn w:val="9"/>
    <w:link w:val="32"/>
    <w:qFormat/>
    <w:uiPriority w:val="0"/>
    <w:rPr>
      <w:b/>
      <w:snapToGrid/>
      <w:color w:val="000000"/>
      <w:sz w:val="21"/>
      <w:szCs w:val="24"/>
    </w:rPr>
  </w:style>
  <w:style w:type="paragraph" w:customStyle="1" w:styleId="34">
    <w:name w:val="修订3"/>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5">
    <w:name w:val="HTML 预设格式 字符"/>
    <w:basedOn w:val="9"/>
    <w:link w:val="6"/>
    <w:qFormat/>
    <w:uiPriority w:val="0"/>
    <w:rPr>
      <w:rFonts w:ascii="宋体" w:hAnsi="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E5F03-CC4E-406A-9E72-0A827BC174B6}">
  <ds:schemaRefs/>
</ds:datastoreItem>
</file>

<file path=docProps/app.xml><?xml version="1.0" encoding="utf-8"?>
<Properties xmlns="http://schemas.openxmlformats.org/officeDocument/2006/extended-properties" xmlns:vt="http://schemas.openxmlformats.org/officeDocument/2006/docPropsVTypes">
  <Template>Normal</Template>
  <Pages>15</Pages>
  <Words>1910</Words>
  <Characters>9989</Characters>
  <Lines>118</Lines>
  <Paragraphs>33</Paragraphs>
  <TotalTime>0</TotalTime>
  <ScaleCrop>false</ScaleCrop>
  <LinksUpToDate>false</LinksUpToDate>
  <CharactersWithSpaces>11535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2025-05-05T04:55:00Z</dcterms:created>
  <dc:creator>Xin Lee</dc:creator>
  <cp:lastModifiedBy>Xin Lee</cp:lastModifiedBy>
  <dcterms:modified xsi:type="dcterms:W3CDTF">2025-06-06T10:53:18Z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E82C327D2E7343158FC1774CF85EA37F_13</vt:lpwstr>
  </property>
  <property fmtid="{D5CDD505-2E9C-101B-9397-08002B2CF9AE}" pid="4" name="KSOTemplateDocerSaveRecord">
    <vt:lpwstr>eyJoZGlkIjoiNjI3M2JiYTJkMTEzNzZkZjlmNjQ0MzE2NzZkOTE5MDYiLCJ1c2VySWQiOiIxOTc5NzUzODgifQ==</vt:lpwstr>
  </property>
</Properties>
</file>