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2B827" w14:textId="77777777" w:rsidR="003E0740" w:rsidRPr="00AE1845" w:rsidRDefault="003E0740" w:rsidP="003E0740">
      <w:pPr>
        <w:rPr>
          <w:rFonts w:ascii="Times New Roman" w:hAnsi="Times New Roman" w:cs="Times New Roman"/>
          <w:b/>
          <w:bCs/>
          <w:kern w:val="44"/>
          <w:sz w:val="36"/>
          <w:szCs w:val="48"/>
        </w:rPr>
      </w:pPr>
      <w:r>
        <w:rPr>
          <w:rFonts w:ascii="Times New Roman" w:eastAsia="宋体" w:hAnsi="Times New Roman" w:cs="Times New Roman" w:hint="eastAsia"/>
          <w:b/>
          <w:bCs/>
          <w:kern w:val="44"/>
          <w:sz w:val="36"/>
          <w:szCs w:val="48"/>
        </w:rPr>
        <w:t>S</w:t>
      </w:r>
      <w:r>
        <w:rPr>
          <w:rFonts w:ascii="Times New Roman" w:eastAsia="Times New Roman" w:hAnsi="Times New Roman" w:cs="Times New Roman"/>
          <w:b/>
          <w:bCs/>
          <w:kern w:val="44"/>
          <w:sz w:val="36"/>
          <w:szCs w:val="48"/>
        </w:rPr>
        <w:t>upporting information</w:t>
      </w:r>
    </w:p>
    <w:p w14:paraId="648F9804" w14:textId="77777777" w:rsidR="003E0740" w:rsidRDefault="003E0740" w:rsidP="003E0740">
      <w:pPr>
        <w:pStyle w:val="1"/>
        <w:rPr>
          <w:rFonts w:eastAsia="宋体"/>
          <w:color w:val="auto"/>
        </w:rPr>
      </w:pPr>
      <w:r>
        <w:rPr>
          <w:color w:val="auto"/>
        </w:rPr>
        <w:t>Supplemental Figure</w:t>
      </w:r>
      <w:r>
        <w:rPr>
          <w:rFonts w:eastAsia="宋体" w:hint="eastAsia"/>
          <w:color w:val="auto"/>
        </w:rPr>
        <w:t>s</w:t>
      </w:r>
    </w:p>
    <w:p w14:paraId="26A6255E" w14:textId="3E5CE484" w:rsidR="00F3103C" w:rsidRDefault="009D5E31" w:rsidP="009D5E31">
      <w:pPr>
        <w:jc w:val="center"/>
      </w:pPr>
      <w:r>
        <w:rPr>
          <w:noProof/>
        </w:rPr>
        <w:drawing>
          <wp:inline distT="0" distB="0" distL="0" distR="0" wp14:anchorId="28F9CE34" wp14:editId="0ADD89D8">
            <wp:extent cx="4438015" cy="5830785"/>
            <wp:effectExtent l="0" t="0" r="635" b="0"/>
            <wp:docPr id="1781713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81"/>
                    <a:stretch/>
                  </pic:blipFill>
                  <pic:spPr bwMode="auto">
                    <a:xfrm>
                      <a:off x="0" y="0"/>
                      <a:ext cx="4438015" cy="583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3476D" w14:textId="77777777" w:rsidR="009D5E31" w:rsidRDefault="009D5E31" w:rsidP="009D5E31">
      <w:pPr>
        <w:pStyle w:val="a7"/>
        <w:spacing w:before="0" w:beforeAutospacing="0" w:after="0" w:afterAutospacing="0"/>
        <w:jc w:val="both"/>
      </w:pPr>
      <w:r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Figure S1. Predicted stem-loop structures of the </w:t>
      </w:r>
      <w:r>
        <w:rPr>
          <w:rFonts w:ascii="Times New Roman" w:eastAsia="等线" w:hAnsi="Times New Roman" w:cs="Times New Roman"/>
          <w:b/>
          <w:bCs/>
          <w:i/>
          <w:iCs/>
          <w:color w:val="000000"/>
          <w:kern w:val="24"/>
        </w:rPr>
        <w:t>Gma-miR396</w:t>
      </w:r>
      <w:r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 gene family.</w:t>
      </w:r>
      <w:r>
        <w:rPr>
          <w:rFonts w:ascii="Times New Roman" w:eastAsia="等线" w:hAnsi="Times New Roman" w:cs="Times New Roman"/>
          <w:b/>
          <w:bCs/>
          <w:color w:val="000000"/>
          <w:kern w:val="24"/>
          <w:lang w:val="en-GB"/>
        </w:rPr>
        <w:t xml:space="preserve"> </w:t>
      </w:r>
    </w:p>
    <w:p w14:paraId="6657DABD" w14:textId="77777777" w:rsidR="009D5E31" w:rsidRDefault="009D5E31" w:rsidP="009D5E31">
      <w:pPr>
        <w:pStyle w:val="a7"/>
        <w:spacing w:before="0" w:beforeAutospacing="0" w:after="0" w:afterAutospacing="0"/>
        <w:jc w:val="both"/>
      </w:pPr>
      <w:r>
        <w:rPr>
          <w:rFonts w:ascii="Times New Roman" w:eastAsia="等线" w:hAnsi="Times New Roman" w:cs="Times New Roman"/>
          <w:color w:val="000000"/>
          <w:kern w:val="24"/>
          <w:lang w:val="en-GB"/>
        </w:rPr>
        <w:t>The</w:t>
      </w:r>
      <w:r>
        <w:rPr>
          <w:rFonts w:ascii="Times New Roman" w:eastAsia="等线" w:hAnsi="Times New Roman" w:cs="Times New Roman"/>
          <w:color w:val="000000"/>
          <w:kern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  <w:lang w:val="en-GB"/>
        </w:rPr>
        <w:t xml:space="preserve">mature </w:t>
      </w:r>
      <w:r>
        <w:rPr>
          <w:rFonts w:ascii="Times New Roman" w:eastAsia="等线" w:hAnsi="Times New Roman" w:cs="Times New Roman"/>
          <w:i/>
          <w:iCs/>
          <w:color w:val="000000"/>
          <w:kern w:val="24"/>
        </w:rPr>
        <w:t>miR396</w:t>
      </w:r>
      <w:r>
        <w:rPr>
          <w:rFonts w:ascii="Times New Roman" w:eastAsia="等线" w:hAnsi="Times New Roman" w:cs="Times New Roman"/>
          <w:color w:val="000000"/>
          <w:kern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  <w:lang w:val="en-GB"/>
        </w:rPr>
        <w:t>sequences are marked in red circles</w:t>
      </w:r>
      <w:r>
        <w:rPr>
          <w:rFonts w:ascii="Times New Roman" w:eastAsia="等线" w:hAnsi="Times New Roman" w:cs="Times New Roman"/>
          <w:color w:val="000000"/>
          <w:kern w:val="24"/>
        </w:rPr>
        <w:t xml:space="preserve">, </w:t>
      </w:r>
      <w:r>
        <w:rPr>
          <w:rFonts w:ascii="Times New Roman" w:eastAsia="等线" w:hAnsi="Times New Roman" w:cs="Times New Roman"/>
          <w:i/>
          <w:iCs/>
          <w:color w:val="000000"/>
          <w:kern w:val="24"/>
        </w:rPr>
        <w:t>miR396</w:t>
      </w:r>
      <w:r>
        <w:rPr>
          <w:rFonts w:ascii="Times New Roman" w:eastAsia="等线" w:hAnsi="Times New Roman" w:cs="Times New Roman"/>
          <w:color w:val="000000"/>
          <w:kern w:val="24"/>
        </w:rPr>
        <w:t>*</w:t>
      </w:r>
      <w:r>
        <w:rPr>
          <w:rFonts w:ascii="Times New Roman" w:eastAsia="等线" w:hAnsi="Times New Roman" w:cs="Times New Roman"/>
          <w:color w:val="000000"/>
          <w:kern w:val="24"/>
          <w:lang w:val="en-GB"/>
        </w:rPr>
        <w:t xml:space="preserve"> sequences are marked in green circles and</w:t>
      </w:r>
      <w:r>
        <w:rPr>
          <w:rFonts w:ascii="Times New Roman" w:eastAsia="等线" w:hAnsi="Times New Roman" w:cs="Times New Roman"/>
          <w:color w:val="000000"/>
          <w:kern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  <w:lang w:val="en-GB"/>
        </w:rPr>
        <w:t>the</w:t>
      </w:r>
      <w:r>
        <w:rPr>
          <w:rFonts w:ascii="Times New Roman" w:eastAsia="等线" w:hAnsi="Times New Roman" w:cs="Times New Roman"/>
          <w:color w:val="000000"/>
          <w:kern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  <w:lang w:val="en-GB"/>
        </w:rPr>
        <w:t xml:space="preserve">PAM sequences are marked with red boxes. The </w:t>
      </w:r>
      <w:r>
        <w:rPr>
          <w:rFonts w:ascii="Times New Roman" w:eastAsia="等线" w:hAnsi="Times New Roman" w:cs="Times New Roman"/>
          <w:color w:val="000000"/>
          <w:kern w:val="24"/>
        </w:rPr>
        <w:t xml:space="preserve">stem-loop </w:t>
      </w:r>
      <w:r>
        <w:rPr>
          <w:rFonts w:ascii="Times New Roman" w:eastAsia="等线" w:hAnsi="Times New Roman" w:cs="Times New Roman"/>
          <w:color w:val="000000"/>
          <w:kern w:val="24"/>
          <w:lang w:val="en-GB"/>
        </w:rPr>
        <w:t>structures of miR396 family members were predicted by the Tbtools software package.</w:t>
      </w:r>
      <w:r>
        <w:rPr>
          <w:rFonts w:ascii="Times New Roman" w:eastAsia="等线" w:hAnsi="Times New Roman" w:cs="Times New Roman"/>
          <w:color w:val="000000"/>
          <w:kern w:val="24"/>
        </w:rPr>
        <w:t xml:space="preserve"> </w:t>
      </w:r>
    </w:p>
    <w:p w14:paraId="495DD3B1" w14:textId="77777777" w:rsidR="009D5E31" w:rsidRDefault="009D5E31" w:rsidP="009D5E31">
      <w:pPr>
        <w:jc w:val="left"/>
      </w:pPr>
    </w:p>
    <w:p w14:paraId="1BBBB124" w14:textId="581420DC" w:rsidR="009D5E31" w:rsidRDefault="009D5E31" w:rsidP="009D5E31">
      <w:pPr>
        <w:jc w:val="center"/>
      </w:pPr>
      <w:r>
        <w:rPr>
          <w:noProof/>
        </w:rPr>
        <w:lastRenderedPageBreak/>
        <w:drawing>
          <wp:inline distT="0" distB="0" distL="0" distR="0" wp14:anchorId="0BBF372D" wp14:editId="4189A1E2">
            <wp:extent cx="5834380" cy="5566410"/>
            <wp:effectExtent l="0" t="0" r="0" b="0"/>
            <wp:docPr id="3891777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556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8E305D" w14:textId="77777777" w:rsidR="00344319" w:rsidRDefault="00344319" w:rsidP="009D5E31">
      <w:pPr>
        <w:pStyle w:val="a7"/>
        <w:spacing w:before="0" w:beforeAutospacing="0" w:after="0" w:afterAutospacing="0"/>
        <w:jc w:val="both"/>
        <w:rPr>
          <w:rFonts w:ascii="Times New Roman" w:eastAsia="等线" w:hAnsi="Times New Roman" w:cs="Times New Roman"/>
          <w:b/>
          <w:bCs/>
          <w:color w:val="000000"/>
          <w:kern w:val="24"/>
        </w:rPr>
      </w:pPr>
    </w:p>
    <w:p w14:paraId="57849730" w14:textId="4DFD6EBD" w:rsidR="009D5E31" w:rsidRDefault="009D5E31" w:rsidP="009D5E31">
      <w:pPr>
        <w:pStyle w:val="a7"/>
        <w:spacing w:before="0" w:beforeAutospacing="0" w:after="0" w:afterAutospacing="0"/>
        <w:jc w:val="both"/>
      </w:pPr>
      <w:r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Figure S2. Sanger sequencing of the </w:t>
      </w:r>
      <w:r>
        <w:rPr>
          <w:rFonts w:ascii="Times New Roman" w:eastAsia="等线" w:hAnsi="Times New Roman" w:cs="Times New Roman"/>
          <w:b/>
          <w:bCs/>
          <w:i/>
          <w:iCs/>
          <w:color w:val="000000"/>
          <w:kern w:val="24"/>
        </w:rPr>
        <w:t>mir396</w:t>
      </w:r>
      <w:r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 mutants.</w:t>
      </w:r>
      <w:r>
        <w:rPr>
          <w:rFonts w:ascii="Times New Roman" w:eastAsia="等线" w:hAnsi="Times New Roman" w:cs="Times New Roman"/>
          <w:b/>
          <w:bCs/>
          <w:color w:val="000000"/>
          <w:kern w:val="24"/>
          <w:lang w:val="en-GB"/>
        </w:rPr>
        <w:t xml:space="preserve"> </w:t>
      </w:r>
    </w:p>
    <w:p w14:paraId="14A8EBE6" w14:textId="77777777" w:rsidR="009D5E31" w:rsidRDefault="009D5E31" w:rsidP="009D5E31">
      <w:pPr>
        <w:pStyle w:val="a7"/>
        <w:spacing w:before="0" w:beforeAutospacing="0" w:after="0" w:afterAutospacing="0"/>
        <w:jc w:val="both"/>
      </w:pPr>
      <w:r>
        <w:rPr>
          <w:rFonts w:ascii="Times New Roman" w:eastAsia="等线" w:hAnsi="Times New Roman" w:cs="Times New Roman"/>
          <w:color w:val="000000"/>
          <w:kern w:val="24"/>
          <w:lang w:val="en-GB"/>
        </w:rPr>
        <w:t xml:space="preserve">Determination of the genotypes of different </w:t>
      </w:r>
      <w:r>
        <w:rPr>
          <w:rFonts w:ascii="Times New Roman" w:eastAsia="等线" w:hAnsi="Times New Roman" w:cs="Times New Roman"/>
          <w:i/>
          <w:iCs/>
          <w:color w:val="000000"/>
          <w:kern w:val="24"/>
          <w:lang w:val="en-GB"/>
        </w:rPr>
        <w:t>mir396</w:t>
      </w:r>
      <w:r>
        <w:rPr>
          <w:rFonts w:ascii="Times New Roman" w:eastAsia="等线" w:hAnsi="Times New Roman" w:cs="Times New Roman"/>
          <w:color w:val="000000"/>
          <w:kern w:val="24"/>
          <w:lang w:val="en-GB"/>
        </w:rPr>
        <w:t xml:space="preserve"> mutants through Sanger sequencing. The</w:t>
      </w:r>
      <w:r>
        <w:rPr>
          <w:rFonts w:ascii="Times New Roman" w:eastAsia="等线" w:hAnsi="Times New Roman" w:cs="Times New Roman"/>
          <w:color w:val="000000"/>
          <w:kern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  <w:lang w:val="en-GB"/>
        </w:rPr>
        <w:t>PAM sequences are marked with red boxes.</w:t>
      </w:r>
      <w:r>
        <w:rPr>
          <w:rFonts w:ascii="Times New Roman" w:eastAsia="等线" w:hAnsi="Times New Roman" w:cs="Times New Roman"/>
          <w:color w:val="FF0000"/>
          <w:kern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</w:rPr>
        <w:t>WT, wild type (no mutation); -5 bp, deletion of 5 nucleotides.</w:t>
      </w:r>
    </w:p>
    <w:p w14:paraId="56ABC831" w14:textId="77777777" w:rsidR="009D5E31" w:rsidRDefault="009D5E31" w:rsidP="009D5E31">
      <w:pPr>
        <w:jc w:val="left"/>
      </w:pPr>
    </w:p>
    <w:p w14:paraId="086E9893" w14:textId="6937CDDE" w:rsidR="009D5E31" w:rsidRDefault="009D5E31" w:rsidP="009D5E31">
      <w:pPr>
        <w:jc w:val="left"/>
      </w:pPr>
      <w:r>
        <w:rPr>
          <w:noProof/>
        </w:rPr>
        <w:lastRenderedPageBreak/>
        <w:drawing>
          <wp:inline distT="0" distB="0" distL="0" distR="0" wp14:anchorId="080CD82A" wp14:editId="637347D8">
            <wp:extent cx="5138934" cy="6930299"/>
            <wp:effectExtent l="0" t="0" r="5080" b="0"/>
            <wp:docPr id="1193248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635" cy="6955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8A926" w14:textId="77777777" w:rsidR="00344319" w:rsidRDefault="00344319" w:rsidP="009D5E31">
      <w:pPr>
        <w:pStyle w:val="a7"/>
        <w:spacing w:before="0" w:beforeAutospacing="0" w:after="0" w:afterAutospacing="0"/>
        <w:jc w:val="both"/>
        <w:rPr>
          <w:rFonts w:ascii="Times New Roman" w:eastAsia="等线" w:hAnsi="Times New Roman" w:cs="Times New Roman"/>
          <w:b/>
          <w:bCs/>
          <w:color w:val="000000"/>
          <w:kern w:val="24"/>
        </w:rPr>
      </w:pPr>
    </w:p>
    <w:p w14:paraId="0E116589" w14:textId="7FE2223E" w:rsidR="009D5E31" w:rsidRPr="00F24608" w:rsidRDefault="009D5E31" w:rsidP="009D5E3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F24608"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Figure S3. Deferentially expressed genes in </w:t>
      </w:r>
      <w:r w:rsidRPr="00F24608">
        <w:rPr>
          <w:rFonts w:ascii="Times New Roman" w:eastAsia="等线" w:hAnsi="Times New Roman" w:cs="Times New Roman"/>
          <w:b/>
          <w:bCs/>
          <w:i/>
          <w:iCs/>
          <w:color w:val="000000"/>
          <w:kern w:val="24"/>
        </w:rPr>
        <w:t>mir396abcdf</w:t>
      </w:r>
      <w:r w:rsidRPr="00F24608"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 and </w:t>
      </w:r>
      <w:r w:rsidRPr="00F24608">
        <w:rPr>
          <w:rFonts w:ascii="Times New Roman" w:eastAsia="等线" w:hAnsi="Times New Roman" w:cs="Times New Roman"/>
          <w:b/>
          <w:bCs/>
          <w:i/>
          <w:iCs/>
          <w:color w:val="000000"/>
          <w:kern w:val="24"/>
        </w:rPr>
        <w:t>mir396bcdfi</w:t>
      </w:r>
      <w:r w:rsidRPr="00F24608"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. </w:t>
      </w:r>
    </w:p>
    <w:p w14:paraId="4C70F888" w14:textId="77777777" w:rsidR="009D5E31" w:rsidRPr="00F24608" w:rsidRDefault="009D5E31" w:rsidP="009D5E3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F24608"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(A) </w:t>
      </w:r>
      <w:r w:rsidRPr="00F24608">
        <w:rPr>
          <w:rFonts w:ascii="Times New Roman" w:eastAsia="等线" w:hAnsi="Times New Roman" w:cs="Times New Roman"/>
          <w:color w:val="000000"/>
          <w:kern w:val="24"/>
        </w:rPr>
        <w:t xml:space="preserve">Volcano plot of DEGs between ZH302, </w:t>
      </w:r>
      <w:r w:rsidRPr="00F24608">
        <w:rPr>
          <w:rFonts w:ascii="Times New Roman" w:eastAsia="等线" w:hAnsi="Times New Roman" w:cs="Times New Roman"/>
          <w:i/>
          <w:iCs/>
          <w:color w:val="000000"/>
          <w:kern w:val="24"/>
        </w:rPr>
        <w:t>mir396abcdf</w:t>
      </w:r>
      <w:r w:rsidRPr="00F24608">
        <w:rPr>
          <w:rFonts w:ascii="Times New Roman" w:eastAsia="等线" w:hAnsi="Times New Roman" w:cs="Times New Roman"/>
          <w:color w:val="000000"/>
          <w:kern w:val="24"/>
        </w:rPr>
        <w:t xml:space="preserve"> and </w:t>
      </w:r>
      <w:r w:rsidRPr="00F24608">
        <w:rPr>
          <w:rFonts w:ascii="Times New Roman" w:eastAsia="等线" w:hAnsi="Times New Roman" w:cs="Times New Roman"/>
          <w:i/>
          <w:iCs/>
          <w:color w:val="000000"/>
          <w:kern w:val="24"/>
        </w:rPr>
        <w:t>mir396bcdfi</w:t>
      </w:r>
      <w:r w:rsidRPr="00F24608">
        <w:rPr>
          <w:rFonts w:ascii="Times New Roman" w:eastAsia="等线" w:hAnsi="Times New Roman" w:cs="Times New Roman"/>
          <w:color w:val="000000"/>
          <w:kern w:val="24"/>
        </w:rPr>
        <w:t xml:space="preserve">. </w:t>
      </w:r>
      <w:r w:rsidRPr="00F24608"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(B-D) </w:t>
      </w:r>
      <w:r w:rsidRPr="00F24608">
        <w:rPr>
          <w:rFonts w:ascii="Times New Roman" w:eastAsia="等线" w:hAnsi="Times New Roman" w:cs="Times New Roman"/>
          <w:color w:val="000000"/>
          <w:kern w:val="24"/>
        </w:rPr>
        <w:t xml:space="preserve">DEGs of linoleic acid metabolism </w:t>
      </w:r>
      <w:r w:rsidRPr="00F24608">
        <w:rPr>
          <w:rFonts w:ascii="Times New Roman" w:eastAsia="等线" w:hAnsi="Times New Roman" w:cs="Times New Roman"/>
          <w:b/>
          <w:bCs/>
          <w:color w:val="000000"/>
          <w:kern w:val="24"/>
        </w:rPr>
        <w:t>(B)</w:t>
      </w:r>
      <w:r w:rsidRPr="00F24608">
        <w:rPr>
          <w:rFonts w:ascii="Times New Roman" w:eastAsia="等线" w:hAnsi="Times New Roman" w:cs="Times New Roman"/>
          <w:color w:val="000000"/>
          <w:kern w:val="24"/>
        </w:rPr>
        <w:t xml:space="preserve">, starch and sucrose metabolism </w:t>
      </w:r>
      <w:r w:rsidRPr="00F24608">
        <w:rPr>
          <w:rFonts w:ascii="Times New Roman" w:eastAsia="等线" w:hAnsi="Times New Roman" w:cs="Times New Roman"/>
          <w:b/>
          <w:bCs/>
          <w:color w:val="000000"/>
          <w:kern w:val="24"/>
        </w:rPr>
        <w:t>(C)</w:t>
      </w:r>
      <w:r w:rsidRPr="00F24608">
        <w:rPr>
          <w:rFonts w:ascii="Times New Roman" w:eastAsia="等线" w:hAnsi="Times New Roman" w:cs="Times New Roman"/>
          <w:color w:val="000000"/>
          <w:kern w:val="24"/>
        </w:rPr>
        <w:t xml:space="preserve">, and seed development </w:t>
      </w:r>
      <w:r w:rsidRPr="00F24608">
        <w:rPr>
          <w:rFonts w:ascii="Times New Roman" w:eastAsia="等线" w:hAnsi="Times New Roman" w:cs="Times New Roman"/>
          <w:b/>
          <w:bCs/>
          <w:color w:val="000000"/>
          <w:kern w:val="24"/>
        </w:rPr>
        <w:t>(D)</w:t>
      </w:r>
      <w:r w:rsidRPr="00F24608">
        <w:rPr>
          <w:rFonts w:ascii="Times New Roman" w:eastAsia="等线" w:hAnsi="Times New Roman" w:cs="Times New Roman"/>
          <w:color w:val="000000"/>
          <w:kern w:val="24"/>
        </w:rPr>
        <w:t xml:space="preserve"> in ZH302, </w:t>
      </w:r>
      <w:r w:rsidRPr="00F24608">
        <w:rPr>
          <w:rFonts w:ascii="Times New Roman" w:eastAsia="等线" w:hAnsi="Times New Roman" w:cs="Times New Roman"/>
          <w:i/>
          <w:iCs/>
          <w:color w:val="000000"/>
          <w:kern w:val="24"/>
        </w:rPr>
        <w:t xml:space="preserve">mir396abcdf </w:t>
      </w:r>
      <w:r w:rsidRPr="00F24608">
        <w:rPr>
          <w:rFonts w:ascii="Times New Roman" w:eastAsia="等线" w:hAnsi="Times New Roman" w:cs="Times New Roman"/>
          <w:color w:val="000000"/>
          <w:kern w:val="24"/>
        </w:rPr>
        <w:t xml:space="preserve">and </w:t>
      </w:r>
      <w:r w:rsidRPr="00F24608">
        <w:rPr>
          <w:rFonts w:ascii="Times New Roman" w:eastAsia="等线" w:hAnsi="Times New Roman" w:cs="Times New Roman"/>
          <w:i/>
          <w:iCs/>
          <w:color w:val="000000"/>
          <w:kern w:val="24"/>
        </w:rPr>
        <w:t>mir396bcdfi.</w:t>
      </w:r>
    </w:p>
    <w:p w14:paraId="7642AC22" w14:textId="77777777" w:rsidR="009D5E31" w:rsidRDefault="009D5E31" w:rsidP="009D5E31">
      <w:pPr>
        <w:jc w:val="left"/>
      </w:pPr>
    </w:p>
    <w:p w14:paraId="5DB0C934" w14:textId="77777777" w:rsidR="00B5643C" w:rsidRDefault="00B5643C" w:rsidP="009D5E31">
      <w:pPr>
        <w:jc w:val="left"/>
      </w:pPr>
    </w:p>
    <w:p w14:paraId="0E7DCDBC" w14:textId="77777777" w:rsidR="00B5643C" w:rsidRDefault="00B5643C" w:rsidP="009D5E31">
      <w:pPr>
        <w:jc w:val="left"/>
      </w:pPr>
    </w:p>
    <w:p w14:paraId="41E2AB92" w14:textId="77777777" w:rsidR="00B5643C" w:rsidRDefault="00B5643C" w:rsidP="009D5E31">
      <w:pPr>
        <w:jc w:val="left"/>
      </w:pPr>
    </w:p>
    <w:p w14:paraId="3673476E" w14:textId="501E2C2A" w:rsidR="003E0740" w:rsidRPr="00D77B2C" w:rsidRDefault="003E0740" w:rsidP="003E0740">
      <w:pPr>
        <w:pStyle w:val="1"/>
        <w:widowControl/>
        <w:rPr>
          <w:rFonts w:eastAsiaTheme="minorEastAsia" w:hint="eastAsia"/>
          <w:color w:val="auto"/>
        </w:rPr>
      </w:pPr>
      <w:r w:rsidRPr="00243B14">
        <w:rPr>
          <w:color w:val="auto"/>
        </w:rPr>
        <w:lastRenderedPageBreak/>
        <w:t>Supplemental</w:t>
      </w:r>
      <w:r w:rsidRPr="00243B14">
        <w:rPr>
          <w:rFonts w:eastAsia="宋体"/>
          <w:color w:val="auto"/>
        </w:rPr>
        <w:t xml:space="preserve"> </w:t>
      </w:r>
      <w:r w:rsidRPr="00243B14">
        <w:rPr>
          <w:color w:val="auto"/>
        </w:rPr>
        <w:t>Tables</w:t>
      </w:r>
    </w:p>
    <w:p w14:paraId="7F88254B" w14:textId="4815FDE2" w:rsidR="003E0740" w:rsidRPr="00D77B2C" w:rsidRDefault="003E0740" w:rsidP="00F24608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7B2C">
        <w:rPr>
          <w:rFonts w:ascii="Times New Roman" w:eastAsia="宋体" w:hAnsi="Times New Roman" w:cs="Times New Roman"/>
          <w:b/>
          <w:bCs/>
          <w:sz w:val="24"/>
          <w:szCs w:val="24"/>
          <w:lang w:bidi="ar"/>
        </w:rPr>
        <w:t>Table S1.</w:t>
      </w:r>
      <w:r w:rsidRPr="00D77B2C">
        <w:rPr>
          <w:rFonts w:ascii="Times New Roman" w:eastAsia="宋体" w:hAnsi="Times New Roman" w:cs="Times New Roman"/>
          <w:sz w:val="24"/>
          <w:szCs w:val="24"/>
          <w:lang w:bidi="ar"/>
        </w:rPr>
        <w:t xml:space="preserve"> </w:t>
      </w:r>
      <w:r w:rsidRPr="00D77B2C">
        <w:rPr>
          <w:rFonts w:ascii="Times New Roman" w:hAnsi="Times New Roman" w:cs="Times New Roman"/>
          <w:sz w:val="24"/>
          <w:szCs w:val="24"/>
        </w:rPr>
        <w:t xml:space="preserve">Genes with altered expression in </w:t>
      </w:r>
      <w:r w:rsidRPr="00D77B2C">
        <w:rPr>
          <w:rFonts w:ascii="Times New Roman" w:hAnsi="Times New Roman" w:cs="Times New Roman"/>
          <w:i/>
          <w:iCs/>
          <w:sz w:val="24"/>
          <w:szCs w:val="24"/>
        </w:rPr>
        <w:t>mir396bcdfi</w:t>
      </w:r>
      <w:r w:rsidRPr="00D77B2C">
        <w:rPr>
          <w:rFonts w:ascii="Times New Roman" w:hAnsi="Times New Roman" w:cs="Times New Roman"/>
          <w:sz w:val="24"/>
          <w:szCs w:val="24"/>
        </w:rPr>
        <w:t xml:space="preserve"> as determined by RNA-seq analysis.</w:t>
      </w:r>
    </w:p>
    <w:p w14:paraId="250BA263" w14:textId="3D9706A5" w:rsidR="003E0740" w:rsidRPr="00D77B2C" w:rsidRDefault="003E0740" w:rsidP="00F24608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7B2C">
        <w:rPr>
          <w:rFonts w:ascii="Times New Roman" w:eastAsia="宋体" w:hAnsi="Times New Roman" w:cs="Times New Roman"/>
          <w:b/>
          <w:bCs/>
          <w:sz w:val="24"/>
          <w:szCs w:val="24"/>
          <w:lang w:bidi="ar"/>
        </w:rPr>
        <w:t>Table S2.</w:t>
      </w:r>
      <w:r w:rsidRPr="00D77B2C">
        <w:rPr>
          <w:rFonts w:ascii="Times New Roman" w:eastAsia="宋体" w:hAnsi="Times New Roman" w:cs="Times New Roman"/>
          <w:sz w:val="24"/>
          <w:szCs w:val="24"/>
          <w:lang w:bidi="ar"/>
        </w:rPr>
        <w:t xml:space="preserve"> </w:t>
      </w:r>
      <w:r w:rsidRPr="00D77B2C">
        <w:rPr>
          <w:rFonts w:ascii="Times New Roman" w:hAnsi="Times New Roman" w:cs="Times New Roman"/>
          <w:sz w:val="24"/>
          <w:szCs w:val="24"/>
        </w:rPr>
        <w:t xml:space="preserve">Genes with altered expression in </w:t>
      </w:r>
      <w:r w:rsidRPr="00D77B2C">
        <w:rPr>
          <w:rFonts w:ascii="Times New Roman" w:hAnsi="Times New Roman" w:cs="Times New Roman"/>
          <w:i/>
          <w:iCs/>
          <w:sz w:val="24"/>
          <w:szCs w:val="24"/>
        </w:rPr>
        <w:t>mir396abcdf</w:t>
      </w:r>
      <w:r w:rsidRPr="00D77B2C">
        <w:rPr>
          <w:rFonts w:ascii="Times New Roman" w:hAnsi="Times New Roman" w:cs="Times New Roman"/>
          <w:sz w:val="24"/>
          <w:szCs w:val="24"/>
        </w:rPr>
        <w:t xml:space="preserve"> as determined by RNA-seq analysis.</w:t>
      </w:r>
    </w:p>
    <w:p w14:paraId="2608DEFC" w14:textId="4820CE34" w:rsidR="003E0740" w:rsidRPr="00D77B2C" w:rsidRDefault="003E0740" w:rsidP="00F24608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D77B2C">
        <w:rPr>
          <w:rFonts w:ascii="Times New Roman" w:eastAsia="宋体" w:hAnsi="Times New Roman" w:cs="Times New Roman"/>
          <w:b/>
          <w:bCs/>
          <w:sz w:val="24"/>
          <w:szCs w:val="24"/>
          <w:lang w:bidi="ar"/>
        </w:rPr>
        <w:t>Table S</w:t>
      </w:r>
      <w:r w:rsidRPr="00D77B2C">
        <w:rPr>
          <w:rFonts w:ascii="Times New Roman" w:eastAsia="宋体" w:hAnsi="Times New Roman" w:cs="Times New Roman" w:hint="eastAsia"/>
          <w:b/>
          <w:bCs/>
          <w:sz w:val="24"/>
          <w:szCs w:val="24"/>
          <w:lang w:bidi="ar"/>
        </w:rPr>
        <w:t>3</w:t>
      </w:r>
      <w:r w:rsidRPr="00D77B2C">
        <w:rPr>
          <w:rFonts w:ascii="Times New Roman" w:eastAsia="宋体" w:hAnsi="Times New Roman" w:cs="Times New Roman"/>
          <w:b/>
          <w:bCs/>
          <w:sz w:val="24"/>
          <w:szCs w:val="24"/>
          <w:lang w:bidi="ar"/>
        </w:rPr>
        <w:t>.</w:t>
      </w:r>
      <w:r w:rsidRPr="00D77B2C">
        <w:rPr>
          <w:rFonts w:ascii="Times New Roman" w:eastAsia="宋体" w:hAnsi="Times New Roman" w:cs="Times New Roman"/>
          <w:sz w:val="24"/>
          <w:szCs w:val="24"/>
          <w:lang w:bidi="ar"/>
        </w:rPr>
        <w:t xml:space="preserve"> Primers used in this study.</w:t>
      </w:r>
    </w:p>
    <w:p w14:paraId="3D5F2D95" w14:textId="77777777" w:rsidR="003E0740" w:rsidRPr="00F24608" w:rsidRDefault="003E0740" w:rsidP="003E0740">
      <w:pPr>
        <w:rPr>
          <w:sz w:val="22"/>
          <w:szCs w:val="24"/>
        </w:rPr>
      </w:pPr>
    </w:p>
    <w:p w14:paraId="017707C8" w14:textId="14E892E1" w:rsidR="00B5643C" w:rsidRPr="003E0740" w:rsidRDefault="00B5643C" w:rsidP="009D5E3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B5643C" w:rsidRPr="003E07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A785B" w14:textId="77777777" w:rsidR="00603391" w:rsidRDefault="00603391" w:rsidP="009D5E31">
      <w:r>
        <w:separator/>
      </w:r>
    </w:p>
  </w:endnote>
  <w:endnote w:type="continuationSeparator" w:id="0">
    <w:p w14:paraId="0F624D07" w14:textId="77777777" w:rsidR="00603391" w:rsidRDefault="00603391" w:rsidP="009D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6000B" w14:textId="77777777" w:rsidR="00603391" w:rsidRDefault="00603391" w:rsidP="009D5E31">
      <w:r>
        <w:separator/>
      </w:r>
    </w:p>
  </w:footnote>
  <w:footnote w:type="continuationSeparator" w:id="0">
    <w:p w14:paraId="07BAEFBB" w14:textId="77777777" w:rsidR="00603391" w:rsidRDefault="00603391" w:rsidP="009D5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C"/>
    <w:rsid w:val="002D3B0B"/>
    <w:rsid w:val="00344319"/>
    <w:rsid w:val="003E0740"/>
    <w:rsid w:val="00603391"/>
    <w:rsid w:val="006F2CFD"/>
    <w:rsid w:val="009D5E31"/>
    <w:rsid w:val="00B5643C"/>
    <w:rsid w:val="00C72BEA"/>
    <w:rsid w:val="00D77B2C"/>
    <w:rsid w:val="00F24608"/>
    <w:rsid w:val="00F3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DD345"/>
  <w15:chartTrackingRefBased/>
  <w15:docId w15:val="{FC996536-774B-4998-8D6C-F9DFC419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0740"/>
    <w:pPr>
      <w:keepNext/>
      <w:keepLines/>
      <w:spacing w:before="40" w:after="40" w:line="48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44"/>
      <w:sz w:val="30"/>
      <w:szCs w:val="4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5E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5E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5E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5E31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D5E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10">
    <w:name w:val="标题 1 字符"/>
    <w:basedOn w:val="a0"/>
    <w:link w:val="1"/>
    <w:uiPriority w:val="9"/>
    <w:qFormat/>
    <w:rsid w:val="003E0740"/>
    <w:rPr>
      <w:rFonts w:ascii="Times New Roman" w:eastAsia="Times New Roman" w:hAnsi="Times New Roman" w:cs="Times New Roman"/>
      <w:b/>
      <w:bCs/>
      <w:color w:val="000000"/>
      <w:kern w:val="44"/>
      <w:sz w:val="30"/>
      <w:szCs w:val="4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户 用</cp:lastModifiedBy>
  <cp:revision>6</cp:revision>
  <dcterms:created xsi:type="dcterms:W3CDTF">2024-03-20T07:23:00Z</dcterms:created>
  <dcterms:modified xsi:type="dcterms:W3CDTF">2024-03-21T13:24:00Z</dcterms:modified>
</cp:coreProperties>
</file>